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2AD77322" w:rsidR="00F72F4F" w:rsidRDefault="00D663A3" w:rsidP="00F72F4F">
      <w:pPr>
        <w:pStyle w:val="CH"/>
      </w:pPr>
      <w:bookmarkStart w:id="0" w:name="historyclause"/>
      <w:r w:rsidRPr="00D663A3">
        <w:rPr>
          <w:lang w:val="en-GB"/>
        </w:rPr>
        <w:t>3GPP TSG RAN Meeting #9</w:t>
      </w:r>
      <w:r w:rsidR="008D5EEB">
        <w:rPr>
          <w:lang w:val="en-GB"/>
        </w:rPr>
        <w:t>9</w:t>
      </w:r>
      <w:r w:rsidR="00F72F4F">
        <w:tab/>
      </w:r>
      <w:r w:rsidR="00F72F4F">
        <w:tab/>
      </w:r>
      <w:r w:rsidR="009A5BBC" w:rsidRPr="009A5BBC">
        <w:t>RP-2</w:t>
      </w:r>
      <w:r w:rsidR="008D5EEB">
        <w:t>3</w:t>
      </w:r>
      <w:r w:rsidR="00C10AA8">
        <w:t>0409</w:t>
      </w:r>
    </w:p>
    <w:p w14:paraId="4A8CACC6" w14:textId="4AD3DF59" w:rsidR="00F72F4F" w:rsidRPr="00FD166F" w:rsidRDefault="008D5EEB" w:rsidP="00F72F4F">
      <w:pPr>
        <w:pStyle w:val="CH"/>
        <w:tabs>
          <w:tab w:val="clear" w:pos="7920"/>
        </w:tabs>
        <w:rPr>
          <w:b w:val="0"/>
        </w:rPr>
      </w:pPr>
      <w:r>
        <w:t>Rotterdam</w:t>
      </w:r>
      <w:r w:rsidR="00B42AB8">
        <w:t xml:space="preserve">, </w:t>
      </w:r>
      <w:r>
        <w:t>Netherlands, March</w:t>
      </w:r>
      <w:r w:rsidR="00B42AB8" w:rsidRPr="00A14D3F">
        <w:t xml:space="preserve"> </w:t>
      </w:r>
      <w:r>
        <w:t>20</w:t>
      </w:r>
      <w:r w:rsidR="00B42AB8">
        <w:rPr>
          <w:vertAlign w:val="superscript"/>
        </w:rPr>
        <w:t>th</w:t>
      </w:r>
      <w:r w:rsidR="00B42AB8" w:rsidRPr="00A14D3F">
        <w:t xml:space="preserve"> – </w:t>
      </w:r>
      <w:r>
        <w:t>23</w:t>
      </w:r>
      <w:r>
        <w:rPr>
          <w:vertAlign w:val="superscript"/>
        </w:rPr>
        <w:t>rd</w:t>
      </w:r>
      <w:r w:rsidR="00B42AB8" w:rsidRPr="00A14D3F">
        <w:t>, 202</w:t>
      </w:r>
      <w:r>
        <w:t>3</w:t>
      </w:r>
    </w:p>
    <w:p w14:paraId="39A0EE25" w14:textId="77777777" w:rsidR="00D309CC" w:rsidRDefault="00D309CC" w:rsidP="00D309CC">
      <w:pPr>
        <w:tabs>
          <w:tab w:val="left" w:pos="2160"/>
        </w:tabs>
        <w:rPr>
          <w:rFonts w:ascii="Arial" w:hAnsi="Arial" w:cs="Arial"/>
          <w:b/>
        </w:rPr>
      </w:pPr>
    </w:p>
    <w:p w14:paraId="6DDCE159" w14:textId="67F8EF77" w:rsidR="00D309CC" w:rsidRPr="0008103A" w:rsidRDefault="00D309CC" w:rsidP="00D309CC">
      <w:pPr>
        <w:pStyle w:val="CH"/>
        <w:rPr>
          <w:b w:val="0"/>
        </w:rPr>
      </w:pPr>
      <w:r w:rsidRPr="0008103A">
        <w:t>Agenda item:</w:t>
      </w:r>
      <w:r>
        <w:tab/>
      </w:r>
      <w:r w:rsidR="00D663A3">
        <w:t>9</w:t>
      </w:r>
      <w:r w:rsidR="00F26A01">
        <w:t>.</w:t>
      </w:r>
      <w:r w:rsidR="008D5EEB">
        <w:t>4</w:t>
      </w:r>
      <w:r w:rsidR="00F26A01">
        <w:t>.</w:t>
      </w:r>
      <w:r w:rsidR="00D663A3">
        <w:t>5</w:t>
      </w:r>
      <w:r w:rsidR="008D5EEB">
        <w:t>.6</w:t>
      </w:r>
    </w:p>
    <w:p w14:paraId="4DBE005A" w14:textId="4DFA2DBD" w:rsidR="00D309CC" w:rsidRPr="0008103A" w:rsidRDefault="00D309CC" w:rsidP="00D309CC">
      <w:pPr>
        <w:pStyle w:val="CH"/>
        <w:rPr>
          <w:b w:val="0"/>
        </w:rPr>
      </w:pPr>
      <w:r>
        <w:t>Source:</w:t>
      </w:r>
      <w:r>
        <w:tab/>
        <w:t>Apple</w:t>
      </w:r>
    </w:p>
    <w:p w14:paraId="0D2061A1" w14:textId="7C5A7600" w:rsidR="00D309CC" w:rsidRDefault="00D309CC" w:rsidP="00D309CC">
      <w:pPr>
        <w:pStyle w:val="CH"/>
      </w:pPr>
      <w:r w:rsidRPr="0008103A">
        <w:t>Title:</w:t>
      </w:r>
      <w:r w:rsidRPr="0008103A">
        <w:tab/>
      </w:r>
      <w:r w:rsidR="008D5EEB">
        <w:t>Scoping of PC1.5 inter-band UL CA/DC with 2Tx and 3Tx</w:t>
      </w:r>
      <w:r w:rsidR="00D603CA">
        <w:t xml:space="preserve"> </w:t>
      </w:r>
      <w:r w:rsidR="00AC0150">
        <w:t xml:space="preserve"> </w:t>
      </w:r>
    </w:p>
    <w:p w14:paraId="052B1E0C" w14:textId="55D7A349" w:rsidR="00104BC6" w:rsidRDefault="00104BC6" w:rsidP="00D309CC">
      <w:pPr>
        <w:pStyle w:val="CH"/>
      </w:pPr>
      <w:r>
        <w:t>WI/SI:</w:t>
      </w:r>
      <w:r>
        <w:tab/>
      </w:r>
      <w:r w:rsidR="008D5EEB" w:rsidRPr="008D5EEB">
        <w:rPr>
          <w:lang w:val="en-GB"/>
        </w:rPr>
        <w:t>4Rx_low_NR_band_handheld_3Tx_NR_CA_ENDC-Core</w:t>
      </w:r>
      <w:r w:rsidR="00D663A3">
        <w:t xml:space="preserve"> </w:t>
      </w:r>
    </w:p>
    <w:p w14:paraId="6C6D1281" w14:textId="7D64A10E" w:rsidR="00104BC6" w:rsidRDefault="00104BC6" w:rsidP="00D309CC">
      <w:pPr>
        <w:pStyle w:val="CH"/>
        <w:rPr>
          <w:b w:val="0"/>
        </w:rPr>
      </w:pPr>
      <w:r>
        <w:t>Release:</w:t>
      </w:r>
      <w:r>
        <w:tab/>
      </w:r>
      <w:r w:rsidRPr="00261B7C">
        <w:t>Rel-</w:t>
      </w:r>
      <w:r w:rsidR="00261B7C">
        <w:t>1</w:t>
      </w:r>
      <w:r w:rsidR="001A6141">
        <w:t>8</w:t>
      </w:r>
    </w:p>
    <w:p w14:paraId="0207DB43" w14:textId="40E7EFE5" w:rsidR="00D46431" w:rsidRPr="0093313C" w:rsidRDefault="00D309CC" w:rsidP="00D309CC">
      <w:pPr>
        <w:pStyle w:val="CH"/>
      </w:pPr>
      <w:r>
        <w:t>Document for:</w:t>
      </w:r>
      <w:r>
        <w:tab/>
      </w:r>
      <w:r w:rsidR="000F3686">
        <w:t>Approval</w:t>
      </w:r>
    </w:p>
    <w:p w14:paraId="5AB2C4CE" w14:textId="1734F79E" w:rsidR="00A75621" w:rsidRPr="00A75621" w:rsidRDefault="008E7986" w:rsidP="0093313C">
      <w:pPr>
        <w:pStyle w:val="Heading1"/>
        <w:spacing w:after="120"/>
        <w:ind w:left="1138" w:hanging="1138"/>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5B99CA06" w14:textId="71BF81CE" w:rsidR="009034DD" w:rsidRPr="009034DD" w:rsidRDefault="008D5EEB" w:rsidP="009034DD">
      <w:pPr>
        <w:spacing w:after="120"/>
        <w:jc w:val="both"/>
        <w:rPr>
          <w:rFonts w:ascii="Arial" w:hAnsi="Arial" w:cs="Arial"/>
          <w:i/>
          <w:iCs/>
          <w:sz w:val="20"/>
          <w:szCs w:val="20"/>
          <w:lang w:val="en-GB"/>
        </w:rPr>
      </w:pPr>
      <w:r>
        <w:rPr>
          <w:rFonts w:ascii="Arial" w:hAnsi="Arial" w:cs="Arial"/>
          <w:sz w:val="20"/>
          <w:szCs w:val="20"/>
        </w:rPr>
        <w:t xml:space="preserve">NR inter-band EN-DC and UL CA have been introduced since Rel-15. However, up till Rel-17, the HPUE feature for inter-band EN-DC and UL CA has only been specified up to PC2, </w:t>
      </w:r>
      <w:r w:rsidRPr="002330A3">
        <w:rPr>
          <w:rFonts w:ascii="Arial" w:hAnsi="Arial" w:cs="Arial"/>
          <w:sz w:val="20"/>
          <w:szCs w:val="20"/>
        </w:rPr>
        <w:t>despite PC1.5 has already been introduced for single UL TDD band since Rel-16.</w:t>
      </w:r>
      <w:r>
        <w:rPr>
          <w:rFonts w:ascii="Arial" w:hAnsi="Arial" w:cs="Arial"/>
          <w:sz w:val="20"/>
          <w:szCs w:val="20"/>
        </w:rPr>
        <w:t xml:space="preserve"> In RAN #98-e meeting, a new work item with an objective to introduce inter-band UL CA/DC with simultaneous 3Tx feature was approved [1]. The intended UL configurations include 1Tx PC3 in one band and 2Tx PC1.5 in the other band. Since this UL configuration already supports PC1.5 in one of the constituent bands, introducing PC1.5 for inter-band UL CA/DC would be inevitable as there is no good reason to constrain the power class for such band combinations to PC2 or PC3. As PC1.5 for inter-band UL CA/DC is a new UE feature where certain general requirements may need to be specified</w:t>
      </w:r>
      <w:r w:rsidR="00425483">
        <w:rPr>
          <w:rFonts w:ascii="Arial" w:hAnsi="Arial" w:cs="Arial"/>
          <w:sz w:val="20"/>
          <w:szCs w:val="20"/>
        </w:rPr>
        <w:t xml:space="preserve">, also the simultaneous 3Tx is considered as a more advanced feature than 2Tx, it seems necessary to first introduce PC1.5 with PC2 1Tx in one band and PC2 1Tx in the other band in order to set the foundation for PC1.5 with 3Tx, or at least, PC1.5 with 2Tx needs to be developed in parallel with PC1.5 with 3Tx. However, PC1.5 for inter-band UL CA/DC with 2Tx has not been scoped in any of the existing work items. As a result, whether PC1.5 for inter-band UL CA/DC with 3Tx feature can be directly introduced </w:t>
      </w:r>
      <w:r w:rsidR="00FE7169">
        <w:rPr>
          <w:rFonts w:ascii="Arial" w:hAnsi="Arial" w:cs="Arial"/>
          <w:sz w:val="20"/>
          <w:szCs w:val="20"/>
        </w:rPr>
        <w:t>before 2Tx would need further discussions. In this contribution, we share our views on the scoping of PC1.5 inter-band UL CA/DC feature with 2Tx and 3Tx and provide a few options on feature development procedure for consideration.</w:t>
      </w:r>
    </w:p>
    <w:p w14:paraId="06E92CC7" w14:textId="487214EE" w:rsidR="008E7986" w:rsidRPr="0093313C" w:rsidRDefault="009034DD" w:rsidP="00A75621">
      <w:pPr>
        <w:jc w:val="both"/>
        <w:rPr>
          <w:rFonts w:ascii="Arial" w:hAnsi="Arial" w:cs="Arial"/>
          <w:sz w:val="20"/>
          <w:szCs w:val="20"/>
        </w:rPr>
      </w:pPr>
      <w:r>
        <w:rPr>
          <w:rFonts w:ascii="Arial" w:hAnsi="Arial" w:cs="Arial"/>
          <w:sz w:val="20"/>
          <w:szCs w:val="20"/>
        </w:rPr>
        <w:t xml:space="preserve"> </w:t>
      </w:r>
      <w:r w:rsidR="00A95DCB">
        <w:rPr>
          <w:rFonts w:ascii="Arial" w:hAnsi="Arial" w:cs="Arial"/>
          <w:sz w:val="20"/>
          <w:szCs w:val="20"/>
        </w:rPr>
        <w:t xml:space="preserve">     </w:t>
      </w:r>
      <w:r w:rsidR="00A95DCB" w:rsidRPr="00A95DCB">
        <w:rPr>
          <w:rFonts w:ascii="Arial" w:hAnsi="Arial" w:cs="Arial"/>
          <w:sz w:val="20"/>
          <w:szCs w:val="20"/>
        </w:rPr>
        <w:t xml:space="preserve">     </w:t>
      </w:r>
      <w:r w:rsidR="004B2CAA" w:rsidRPr="00A95DCB">
        <w:rPr>
          <w:rFonts w:ascii="Arial" w:hAnsi="Arial" w:cs="Arial"/>
          <w:sz w:val="20"/>
          <w:szCs w:val="20"/>
        </w:rPr>
        <w:t xml:space="preserve"> </w:t>
      </w:r>
      <w:r w:rsidR="000F21E4" w:rsidRPr="00A95DCB">
        <w:rPr>
          <w:rFonts w:ascii="Arial" w:hAnsi="Arial" w:cs="Arial"/>
          <w:sz w:val="20"/>
          <w:szCs w:val="20"/>
        </w:rPr>
        <w:t xml:space="preserve"> </w:t>
      </w:r>
      <w:r w:rsidR="00A14182" w:rsidRPr="00A95DCB">
        <w:rPr>
          <w:rFonts w:ascii="Arial" w:hAnsi="Arial" w:cs="Arial"/>
          <w:sz w:val="20"/>
          <w:szCs w:val="20"/>
          <w:lang w:val="en-GB"/>
        </w:rPr>
        <w:t xml:space="preserve"> </w:t>
      </w:r>
      <w:r w:rsidR="00531036" w:rsidRPr="00A95DCB">
        <w:rPr>
          <w:rFonts w:ascii="Arial" w:hAnsi="Arial" w:cs="Arial"/>
          <w:sz w:val="20"/>
          <w:szCs w:val="20"/>
          <w:lang w:val="en-GB"/>
        </w:rPr>
        <w:t xml:space="preserve"> </w:t>
      </w:r>
      <w:r w:rsidR="005C43AC" w:rsidRPr="00A95DCB">
        <w:rPr>
          <w:rFonts w:ascii="Arial" w:hAnsi="Arial" w:cs="Arial"/>
          <w:sz w:val="20"/>
          <w:szCs w:val="20"/>
          <w:lang w:val="en-GB"/>
        </w:rPr>
        <w:t xml:space="preserve"> </w:t>
      </w:r>
      <w:r w:rsidR="00A02BA9" w:rsidRPr="00A95DCB">
        <w:rPr>
          <w:rFonts w:ascii="Arial" w:hAnsi="Arial" w:cs="Arial"/>
          <w:sz w:val="20"/>
          <w:szCs w:val="20"/>
        </w:rPr>
        <w:t xml:space="preserve">  </w:t>
      </w:r>
      <w:r w:rsidR="00C331E9" w:rsidRPr="00A95DCB">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46061D3" w:rsidR="00D00BA3" w:rsidRPr="00FB645D" w:rsidRDefault="00FE7169" w:rsidP="0093313C">
      <w:pPr>
        <w:pStyle w:val="Heading1"/>
        <w:numPr>
          <w:ilvl w:val="0"/>
          <w:numId w:val="11"/>
        </w:numPr>
        <w:spacing w:before="120" w:after="120"/>
        <w:ind w:left="1138" w:hanging="1138"/>
      </w:pPr>
      <w:r>
        <w:t>Discussion</w:t>
      </w:r>
    </w:p>
    <w:p w14:paraId="63B2E3AA" w14:textId="77777777" w:rsidR="0011748D" w:rsidRDefault="0011748D" w:rsidP="00A51D63">
      <w:pPr>
        <w:jc w:val="both"/>
        <w:rPr>
          <w:rFonts w:ascii="Arial" w:hAnsi="Arial" w:cs="Arial"/>
          <w:bCs/>
          <w:sz w:val="20"/>
          <w:szCs w:val="20"/>
        </w:rPr>
      </w:pPr>
    </w:p>
    <w:p w14:paraId="12946531" w14:textId="6D2E29FE" w:rsidR="000F3156" w:rsidRDefault="00FE7169" w:rsidP="00A51D63">
      <w:pPr>
        <w:spacing w:after="120"/>
        <w:jc w:val="both"/>
        <w:rPr>
          <w:rFonts w:ascii="Arial" w:hAnsi="Arial" w:cs="Arial"/>
          <w:sz w:val="20"/>
          <w:szCs w:val="20"/>
        </w:rPr>
      </w:pPr>
      <w:r>
        <w:rPr>
          <w:rFonts w:ascii="Arial" w:hAnsi="Arial" w:cs="Arial"/>
          <w:sz w:val="20"/>
          <w:szCs w:val="20"/>
        </w:rPr>
        <w:t xml:space="preserve">The objective on introducing inter-band UL CA/DC with simultaneous 3Tx feature in a new work item [1] approved in RAN #98-e meeting has called for the development of new PC1.5 feature for inter-band UL CA/DC in order to support the intended UL configuration which is composed of 1Tx PC3 in one band and 2Tx PC1.5 in the other band. Since PC1.5 for inter-band UL CA/DC is a new UE feature, certain general requirement may need to be specified. On the other hand, the simultaneous 3Tx </w:t>
      </w:r>
      <w:r w:rsidR="00456A82">
        <w:rPr>
          <w:rFonts w:ascii="Arial" w:hAnsi="Arial" w:cs="Arial"/>
          <w:sz w:val="20"/>
          <w:szCs w:val="20"/>
        </w:rPr>
        <w:t xml:space="preserve">operation </w:t>
      </w:r>
      <w:r>
        <w:rPr>
          <w:rFonts w:ascii="Arial" w:hAnsi="Arial" w:cs="Arial"/>
          <w:sz w:val="20"/>
          <w:szCs w:val="20"/>
        </w:rPr>
        <w:t>is considered as a more advanced feature than 2Tx, therefore, it seems necessary to first introduce PC1.5 with PC2 1Tx in one band and PC2 1Tx in the other band in order to set the foundation for PC1.5 with 3Tx, or at least, PC1.5 with 2Tx needs to be developed in parallel with PC1.5 with 3Tx</w:t>
      </w:r>
      <w:r w:rsidR="00456A82">
        <w:rPr>
          <w:rFonts w:ascii="Arial" w:hAnsi="Arial" w:cs="Arial"/>
          <w:sz w:val="20"/>
          <w:szCs w:val="20"/>
        </w:rPr>
        <w:t xml:space="preserve"> [2].</w:t>
      </w:r>
      <w:r w:rsidR="00937D26">
        <w:rPr>
          <w:rFonts w:ascii="Arial" w:hAnsi="Arial" w:cs="Arial"/>
          <w:sz w:val="20"/>
          <w:szCs w:val="20"/>
          <w:lang w:val="en-GB"/>
        </w:rPr>
        <w:t xml:space="preserve"> </w:t>
      </w:r>
      <w:r w:rsidR="00AA286D">
        <w:rPr>
          <w:rFonts w:ascii="Arial" w:hAnsi="Arial" w:cs="Arial"/>
          <w:sz w:val="20"/>
          <w:szCs w:val="20"/>
          <w:lang w:val="en-GB"/>
        </w:rPr>
        <w:t xml:space="preserve"> </w:t>
      </w:r>
    </w:p>
    <w:p w14:paraId="1A91FB62" w14:textId="62026479" w:rsidR="00610715" w:rsidRDefault="00610715" w:rsidP="001645BD">
      <w:pPr>
        <w:jc w:val="both"/>
        <w:rPr>
          <w:rFonts w:ascii="Arial" w:hAnsi="Arial" w:cs="Arial"/>
          <w:sz w:val="20"/>
          <w:szCs w:val="20"/>
        </w:rPr>
      </w:pPr>
    </w:p>
    <w:p w14:paraId="7F8DA477" w14:textId="15670A5C" w:rsidR="009034DD" w:rsidRDefault="00FE7169" w:rsidP="00423B10">
      <w:pPr>
        <w:spacing w:after="120"/>
        <w:jc w:val="both"/>
        <w:rPr>
          <w:rFonts w:ascii="Arial" w:hAnsi="Arial" w:cs="Arial"/>
          <w:i/>
          <w:iCs/>
          <w:sz w:val="20"/>
          <w:szCs w:val="20"/>
          <w:lang w:val="en-GB"/>
        </w:rPr>
      </w:pPr>
      <w:r w:rsidRPr="004D412E">
        <w:rPr>
          <w:rFonts w:ascii="Arial" w:hAnsi="Arial" w:cs="Arial"/>
          <w:b/>
          <w:bCs/>
          <w:i/>
          <w:iCs/>
          <w:sz w:val="20"/>
          <w:szCs w:val="20"/>
        </w:rPr>
        <w:t>Observation 1</w:t>
      </w:r>
      <w:r w:rsidRPr="004D412E">
        <w:rPr>
          <w:rFonts w:ascii="Arial" w:hAnsi="Arial" w:cs="Arial"/>
          <w:i/>
          <w:iCs/>
          <w:sz w:val="20"/>
          <w:szCs w:val="20"/>
        </w:rPr>
        <w:t>: For PC1.5 inter-band UL</w:t>
      </w:r>
      <w:r>
        <w:rPr>
          <w:rFonts w:ascii="Arial" w:hAnsi="Arial" w:cs="Arial"/>
          <w:i/>
          <w:iCs/>
          <w:sz w:val="20"/>
          <w:szCs w:val="20"/>
        </w:rPr>
        <w:t xml:space="preserve"> </w:t>
      </w:r>
      <w:r w:rsidRPr="004D412E">
        <w:rPr>
          <w:rFonts w:ascii="Arial" w:hAnsi="Arial" w:cs="Arial"/>
          <w:i/>
          <w:iCs/>
          <w:sz w:val="20"/>
          <w:szCs w:val="20"/>
        </w:rPr>
        <w:t>CA</w:t>
      </w:r>
      <w:r>
        <w:rPr>
          <w:rFonts w:ascii="Arial" w:hAnsi="Arial" w:cs="Arial"/>
          <w:i/>
          <w:iCs/>
          <w:sz w:val="20"/>
          <w:szCs w:val="20"/>
        </w:rPr>
        <w:t>/DC</w:t>
      </w:r>
      <w:r w:rsidRPr="004D412E">
        <w:rPr>
          <w:rFonts w:ascii="Arial" w:hAnsi="Arial" w:cs="Arial"/>
          <w:i/>
          <w:iCs/>
          <w:sz w:val="20"/>
          <w:szCs w:val="20"/>
        </w:rPr>
        <w:t xml:space="preserve">, it seems necessary to introduce PC1.5 with PC2 1Tx in one band and PC2 1Tx in the other band </w:t>
      </w:r>
      <w:r>
        <w:rPr>
          <w:rFonts w:ascii="Arial" w:hAnsi="Arial" w:cs="Arial"/>
          <w:i/>
          <w:iCs/>
          <w:sz w:val="20"/>
          <w:szCs w:val="20"/>
        </w:rPr>
        <w:t xml:space="preserve">in order </w:t>
      </w:r>
      <w:r w:rsidRPr="004D412E">
        <w:rPr>
          <w:rFonts w:ascii="Arial" w:hAnsi="Arial" w:cs="Arial"/>
          <w:i/>
          <w:iCs/>
          <w:sz w:val="20"/>
          <w:szCs w:val="20"/>
        </w:rPr>
        <w:t>to set the foundation for PC1.5 with 3Tx, or at least, PC1.5 with 2Tx needs to be developed in parallel with PC1.5 with 3Tx.</w:t>
      </w:r>
    </w:p>
    <w:p w14:paraId="0DBCB889" w14:textId="77777777" w:rsidR="009034DD" w:rsidRPr="009034DD" w:rsidRDefault="009034DD" w:rsidP="009034DD">
      <w:pPr>
        <w:jc w:val="both"/>
        <w:rPr>
          <w:rFonts w:ascii="Arial" w:hAnsi="Arial" w:cs="Arial"/>
          <w:sz w:val="20"/>
          <w:szCs w:val="20"/>
          <w:lang w:val="en-GB"/>
        </w:rPr>
      </w:pPr>
    </w:p>
    <w:p w14:paraId="6AD08309" w14:textId="6FCDD868" w:rsidR="002A394A" w:rsidRDefault="00456A82" w:rsidP="00456A82">
      <w:pPr>
        <w:spacing w:after="120"/>
        <w:jc w:val="both"/>
        <w:rPr>
          <w:rFonts w:ascii="Arial" w:hAnsi="Arial" w:cs="Arial"/>
          <w:sz w:val="20"/>
          <w:szCs w:val="20"/>
        </w:rPr>
      </w:pPr>
      <w:r>
        <w:rPr>
          <w:rFonts w:ascii="Arial" w:hAnsi="Arial" w:cs="Arial"/>
          <w:sz w:val="20"/>
          <w:szCs w:val="20"/>
        </w:rPr>
        <w:t>However, PC1.5 for inter-band UL CA/DC with 2Tx has not been scoped in any of the existing work items. As a result, whether PC1.5 for inter-band UL CA/DC with 3Tx feature can be directly introduced before 2Tx would need further discussions.</w:t>
      </w:r>
    </w:p>
    <w:p w14:paraId="46F41254" w14:textId="1C7006CC" w:rsidR="00456A82" w:rsidRDefault="00456A82" w:rsidP="002A394A">
      <w:pPr>
        <w:jc w:val="both"/>
        <w:rPr>
          <w:rFonts w:ascii="Arial" w:hAnsi="Arial" w:cs="Arial"/>
          <w:sz w:val="20"/>
          <w:szCs w:val="20"/>
        </w:rPr>
      </w:pPr>
    </w:p>
    <w:p w14:paraId="10C17144" w14:textId="1FE88DEB" w:rsidR="00456A82" w:rsidRDefault="00456A82" w:rsidP="00456A82">
      <w:pPr>
        <w:spacing w:after="120"/>
        <w:jc w:val="both"/>
        <w:rPr>
          <w:rFonts w:ascii="Arial" w:hAnsi="Arial" w:cs="Arial"/>
          <w:sz w:val="20"/>
          <w:szCs w:val="20"/>
        </w:rPr>
      </w:pPr>
      <w:r>
        <w:rPr>
          <w:rFonts w:ascii="Arial" w:hAnsi="Arial" w:cs="Arial"/>
          <w:sz w:val="20"/>
          <w:szCs w:val="20"/>
        </w:rPr>
        <w:t>If RAN/RAN4 decide it is necessary to introduce PC1.5 for inter-band UL CA/DC with 2Tx before 3Tx, the following options on feature development procedure can be considered:</w:t>
      </w:r>
    </w:p>
    <w:p w14:paraId="3799275F" w14:textId="01543555" w:rsidR="00456A82" w:rsidRDefault="00456A82" w:rsidP="002A394A">
      <w:pPr>
        <w:jc w:val="both"/>
        <w:rPr>
          <w:rFonts w:ascii="Arial" w:hAnsi="Arial" w:cs="Arial"/>
          <w:sz w:val="20"/>
          <w:szCs w:val="20"/>
        </w:rPr>
      </w:pPr>
    </w:p>
    <w:p w14:paraId="168EB255" w14:textId="28A4A3E4" w:rsidR="00217DB5" w:rsidRPr="00217DB5" w:rsidRDefault="00217DB5" w:rsidP="00217DB5">
      <w:pPr>
        <w:spacing w:after="120"/>
        <w:jc w:val="both"/>
        <w:rPr>
          <w:rFonts w:ascii="Arial" w:hAnsi="Arial" w:cs="Arial"/>
          <w:i/>
          <w:iCs/>
          <w:sz w:val="20"/>
          <w:szCs w:val="20"/>
        </w:rPr>
      </w:pPr>
      <w:r w:rsidRPr="00217DB5">
        <w:rPr>
          <w:rFonts w:ascii="Arial" w:hAnsi="Arial" w:cs="Arial"/>
          <w:b/>
          <w:bCs/>
          <w:i/>
          <w:iCs/>
          <w:sz w:val="20"/>
          <w:szCs w:val="20"/>
        </w:rPr>
        <w:t>Proposal 1</w:t>
      </w:r>
      <w:r w:rsidRPr="00217DB5">
        <w:rPr>
          <w:rFonts w:ascii="Arial" w:hAnsi="Arial" w:cs="Arial"/>
          <w:i/>
          <w:iCs/>
          <w:sz w:val="20"/>
          <w:szCs w:val="20"/>
        </w:rPr>
        <w:t>: RAN/RAN4 to consider the following options on the feature development procedure for PC1.5 inter-band UL CA/DC with 2Tx and 3Tx:</w:t>
      </w:r>
    </w:p>
    <w:p w14:paraId="18466868" w14:textId="77777777" w:rsidR="00217DB5" w:rsidRDefault="00217DB5" w:rsidP="002A394A">
      <w:pPr>
        <w:jc w:val="both"/>
        <w:rPr>
          <w:rFonts w:ascii="Arial" w:hAnsi="Arial" w:cs="Arial"/>
          <w:sz w:val="20"/>
          <w:szCs w:val="20"/>
        </w:rPr>
      </w:pPr>
    </w:p>
    <w:p w14:paraId="5DEB9799" w14:textId="364A8813" w:rsidR="00C13552" w:rsidRPr="00E0286F" w:rsidRDefault="00456A82" w:rsidP="00217DB5">
      <w:pPr>
        <w:ind w:left="288"/>
        <w:jc w:val="both"/>
        <w:rPr>
          <w:rFonts w:ascii="Arial" w:hAnsi="Arial" w:cs="Arial"/>
          <w:i/>
          <w:iCs/>
          <w:sz w:val="20"/>
          <w:szCs w:val="20"/>
        </w:rPr>
      </w:pPr>
      <w:r w:rsidRPr="00E0286F">
        <w:rPr>
          <w:rFonts w:ascii="Arial" w:hAnsi="Arial" w:cs="Arial"/>
          <w:b/>
          <w:bCs/>
          <w:i/>
          <w:iCs/>
          <w:sz w:val="20"/>
          <w:szCs w:val="20"/>
        </w:rPr>
        <w:t>Option 1</w:t>
      </w:r>
      <w:r w:rsidRPr="00E0286F">
        <w:rPr>
          <w:rFonts w:ascii="Arial" w:hAnsi="Arial" w:cs="Arial"/>
          <w:i/>
          <w:iCs/>
          <w:sz w:val="20"/>
          <w:szCs w:val="20"/>
        </w:rPr>
        <w:t>: Revise the objectives of the current WID for “</w:t>
      </w:r>
      <w:r w:rsidRPr="00E0286F">
        <w:rPr>
          <w:rFonts w:ascii="Arial" w:hAnsi="Arial" w:cs="Arial"/>
          <w:bCs/>
          <w:i/>
          <w:iCs/>
          <w:sz w:val="20"/>
          <w:szCs w:val="20"/>
          <w:lang w:val="en-GB"/>
        </w:rPr>
        <w:t>Low NR band 4Rx for handheld UE and 3Tx for inter-band UL CA and EN-DC” to include</w:t>
      </w:r>
      <w:r w:rsidR="00C13552" w:rsidRPr="00E0286F">
        <w:rPr>
          <w:rFonts w:ascii="Arial" w:hAnsi="Arial" w:cs="Arial"/>
          <w:bCs/>
          <w:i/>
          <w:iCs/>
          <w:sz w:val="20"/>
          <w:szCs w:val="20"/>
          <w:lang w:val="en-GB"/>
        </w:rPr>
        <w:t xml:space="preserve"> PC1.5 inter-band UL CA/DC with </w:t>
      </w:r>
      <w:r w:rsidR="00C13552" w:rsidRPr="00E0286F">
        <w:rPr>
          <w:rFonts w:ascii="Arial" w:hAnsi="Arial" w:cs="Arial"/>
          <w:i/>
          <w:iCs/>
          <w:sz w:val="20"/>
          <w:szCs w:val="20"/>
        </w:rPr>
        <w:t>2Tx configuration.</w:t>
      </w:r>
    </w:p>
    <w:p w14:paraId="201FEC9C" w14:textId="77777777" w:rsidR="00C13552" w:rsidRDefault="00C13552" w:rsidP="00217DB5">
      <w:pPr>
        <w:ind w:left="284"/>
        <w:jc w:val="both"/>
        <w:rPr>
          <w:rFonts w:ascii="Arial" w:hAnsi="Arial" w:cs="Arial"/>
          <w:sz w:val="20"/>
          <w:szCs w:val="20"/>
        </w:rPr>
      </w:pPr>
    </w:p>
    <w:p w14:paraId="293C62B7" w14:textId="77777777" w:rsidR="00C13552" w:rsidRPr="00E0286F" w:rsidRDefault="00C13552" w:rsidP="00217DB5">
      <w:pPr>
        <w:ind w:left="288"/>
        <w:jc w:val="both"/>
        <w:rPr>
          <w:rFonts w:ascii="Arial" w:hAnsi="Arial" w:cs="Arial"/>
          <w:bCs/>
          <w:i/>
          <w:iCs/>
          <w:sz w:val="20"/>
          <w:szCs w:val="20"/>
          <w:lang w:val="en-GB"/>
        </w:rPr>
      </w:pPr>
      <w:r w:rsidRPr="00E0286F">
        <w:rPr>
          <w:rFonts w:ascii="Arial" w:hAnsi="Arial" w:cs="Arial"/>
          <w:b/>
          <w:bCs/>
          <w:i/>
          <w:iCs/>
          <w:sz w:val="20"/>
          <w:szCs w:val="20"/>
        </w:rPr>
        <w:t>Option 2</w:t>
      </w:r>
      <w:r w:rsidRPr="00E0286F">
        <w:rPr>
          <w:rFonts w:ascii="Arial" w:hAnsi="Arial" w:cs="Arial"/>
          <w:i/>
          <w:iCs/>
          <w:sz w:val="20"/>
          <w:szCs w:val="20"/>
        </w:rPr>
        <w:t xml:space="preserve">: </w:t>
      </w:r>
      <w:r w:rsidRPr="00E0286F">
        <w:rPr>
          <w:rFonts w:ascii="Arial" w:hAnsi="Arial" w:cs="Arial"/>
          <w:bCs/>
          <w:i/>
          <w:iCs/>
          <w:sz w:val="20"/>
          <w:szCs w:val="20"/>
          <w:lang w:val="en-GB"/>
        </w:rPr>
        <w:t>Instigate a new RAN4 work item to specifically handle the PC1.5 inter-band UL CA/DC with 2Tx feature.</w:t>
      </w:r>
    </w:p>
    <w:p w14:paraId="023865A0" w14:textId="77777777" w:rsidR="00C13552" w:rsidRDefault="00C13552" w:rsidP="00217DB5">
      <w:pPr>
        <w:ind w:left="284"/>
        <w:jc w:val="both"/>
        <w:rPr>
          <w:rFonts w:ascii="Arial" w:hAnsi="Arial" w:cs="Arial"/>
          <w:bCs/>
          <w:sz w:val="20"/>
          <w:szCs w:val="20"/>
          <w:lang w:val="en-GB"/>
        </w:rPr>
      </w:pPr>
    </w:p>
    <w:p w14:paraId="475D581D" w14:textId="34C71AE4" w:rsidR="00456A82" w:rsidRPr="00E0286F" w:rsidRDefault="00C13552" w:rsidP="00217DB5">
      <w:pPr>
        <w:spacing w:after="120"/>
        <w:ind w:left="284"/>
        <w:jc w:val="both"/>
        <w:rPr>
          <w:rFonts w:ascii="Arial" w:hAnsi="Arial" w:cs="Arial"/>
          <w:i/>
          <w:iCs/>
          <w:sz w:val="20"/>
          <w:szCs w:val="20"/>
        </w:rPr>
      </w:pPr>
      <w:r w:rsidRPr="00E0286F">
        <w:rPr>
          <w:rFonts w:ascii="Arial" w:hAnsi="Arial" w:cs="Arial"/>
          <w:b/>
          <w:i/>
          <w:iCs/>
          <w:sz w:val="20"/>
          <w:szCs w:val="20"/>
          <w:lang w:val="en-GB"/>
        </w:rPr>
        <w:t>Option 3</w:t>
      </w:r>
      <w:r w:rsidRPr="00E0286F">
        <w:rPr>
          <w:rFonts w:ascii="Arial" w:hAnsi="Arial" w:cs="Arial"/>
          <w:bCs/>
          <w:i/>
          <w:iCs/>
          <w:sz w:val="20"/>
          <w:szCs w:val="20"/>
          <w:lang w:val="en-GB"/>
        </w:rPr>
        <w:t xml:space="preserve">: Postpone the PC1.5 for inter-band UL CA/DC </w:t>
      </w:r>
      <w:r w:rsidR="00E0286F" w:rsidRPr="00E0286F">
        <w:rPr>
          <w:rFonts w:ascii="Arial" w:hAnsi="Arial" w:cs="Arial"/>
          <w:bCs/>
          <w:i/>
          <w:iCs/>
          <w:sz w:val="20"/>
          <w:szCs w:val="20"/>
          <w:lang w:val="en-GB"/>
        </w:rPr>
        <w:t>feature (including both 2Tx and 3Tx) to Rel-19.</w:t>
      </w:r>
      <w:r w:rsidRPr="00E0286F">
        <w:rPr>
          <w:rFonts w:ascii="Arial" w:hAnsi="Arial" w:cs="Arial"/>
          <w:bCs/>
          <w:i/>
          <w:iCs/>
          <w:sz w:val="20"/>
          <w:szCs w:val="20"/>
          <w:lang w:val="en-GB"/>
        </w:rPr>
        <w:t xml:space="preserve">  </w:t>
      </w:r>
    </w:p>
    <w:p w14:paraId="6EBAC573" w14:textId="0E35B322" w:rsidR="00456A82" w:rsidRDefault="00456A82" w:rsidP="002A394A">
      <w:pPr>
        <w:jc w:val="both"/>
        <w:rPr>
          <w:rFonts w:ascii="Arial" w:hAnsi="Arial" w:cs="Arial"/>
          <w:sz w:val="20"/>
          <w:szCs w:val="20"/>
        </w:rPr>
      </w:pPr>
    </w:p>
    <w:p w14:paraId="1472F9D7" w14:textId="02731371" w:rsidR="00E0286F" w:rsidRDefault="00E0286F" w:rsidP="00E0286F">
      <w:pPr>
        <w:spacing w:after="120"/>
        <w:jc w:val="both"/>
        <w:rPr>
          <w:rFonts w:ascii="Arial" w:hAnsi="Arial" w:cs="Arial"/>
          <w:sz w:val="20"/>
          <w:szCs w:val="20"/>
          <w:lang w:val="en-GB"/>
        </w:rPr>
      </w:pPr>
      <w:r>
        <w:rPr>
          <w:rFonts w:ascii="Arial" w:hAnsi="Arial" w:cs="Arial"/>
          <w:sz w:val="20"/>
          <w:szCs w:val="20"/>
        </w:rPr>
        <w:t xml:space="preserve">In our view, the easiest path to introduce PC1.5 </w:t>
      </w:r>
      <w:r w:rsidR="00217DB5">
        <w:rPr>
          <w:rFonts w:ascii="Arial" w:hAnsi="Arial" w:cs="Arial"/>
          <w:sz w:val="20"/>
          <w:szCs w:val="20"/>
        </w:rPr>
        <w:t xml:space="preserve">inter-band </w:t>
      </w:r>
      <w:r>
        <w:rPr>
          <w:rFonts w:ascii="Arial" w:hAnsi="Arial" w:cs="Arial"/>
          <w:sz w:val="20"/>
          <w:szCs w:val="20"/>
        </w:rPr>
        <w:t xml:space="preserve">UL CA/DC is to start with </w:t>
      </w:r>
      <w:r w:rsidRPr="004D412E">
        <w:rPr>
          <w:rFonts w:ascii="Arial" w:hAnsi="Arial" w:cs="Arial"/>
          <w:sz w:val="20"/>
          <w:szCs w:val="20"/>
          <w:lang w:val="en-GB"/>
        </w:rPr>
        <w:t>PC2+PC2 in TDD+TDD band combinations, such as PC1.5 for UL CA_n41A-n77A.</w:t>
      </w:r>
      <w:r>
        <w:rPr>
          <w:rFonts w:ascii="Arial" w:hAnsi="Arial" w:cs="Arial"/>
          <w:sz w:val="20"/>
          <w:szCs w:val="20"/>
          <w:lang w:val="en-GB"/>
        </w:rPr>
        <w:t xml:space="preserve"> As the maximum total output power for PC2+PC2 is exactly PC1.5 where each UL can independently control its output power without the concern of exceeding the combined P</w:t>
      </w:r>
      <w:r w:rsidRPr="00766EB2">
        <w:rPr>
          <w:rFonts w:ascii="Arial" w:hAnsi="Arial" w:cs="Arial"/>
          <w:sz w:val="20"/>
          <w:szCs w:val="20"/>
          <w:vertAlign w:val="subscript"/>
          <w:lang w:val="en-GB"/>
        </w:rPr>
        <w:t>CMAX</w:t>
      </w:r>
      <w:r>
        <w:rPr>
          <w:rFonts w:ascii="Arial" w:hAnsi="Arial" w:cs="Arial"/>
          <w:sz w:val="20"/>
          <w:szCs w:val="20"/>
          <w:lang w:val="en-GB"/>
        </w:rPr>
        <w:t xml:space="preserve">, the rather complicated UL power sharing would not be needed. On the other hand, </w:t>
      </w:r>
      <w:r w:rsidRPr="00766EB2">
        <w:rPr>
          <w:rFonts w:ascii="Arial" w:hAnsi="Arial" w:cs="Arial"/>
          <w:sz w:val="20"/>
          <w:szCs w:val="20"/>
          <w:lang w:val="en-GB"/>
        </w:rPr>
        <w:t>for TDD+TDD combination under simultaneous 2Tx operation, there would not be DL reception in both bands</w:t>
      </w:r>
      <w:r>
        <w:rPr>
          <w:rFonts w:ascii="Arial" w:hAnsi="Arial" w:cs="Arial"/>
          <w:sz w:val="20"/>
          <w:szCs w:val="20"/>
          <w:lang w:val="en-GB"/>
        </w:rPr>
        <w:t>, therefore, MSD issue does not need to be considered.</w:t>
      </w:r>
    </w:p>
    <w:p w14:paraId="20F2CDD3" w14:textId="37565A16" w:rsidR="00E0286F" w:rsidRDefault="00E0286F" w:rsidP="00E0286F">
      <w:pPr>
        <w:jc w:val="both"/>
        <w:rPr>
          <w:rFonts w:ascii="Arial" w:hAnsi="Arial" w:cs="Arial"/>
          <w:sz w:val="20"/>
          <w:szCs w:val="20"/>
          <w:lang w:val="en-GB"/>
        </w:rPr>
      </w:pPr>
    </w:p>
    <w:p w14:paraId="6C23320D" w14:textId="6436E3CA" w:rsidR="008A1D3B" w:rsidRDefault="008A1D3B" w:rsidP="00E0286F">
      <w:pPr>
        <w:spacing w:after="120"/>
        <w:jc w:val="both"/>
        <w:rPr>
          <w:rFonts w:ascii="Arial" w:hAnsi="Arial" w:cs="Arial"/>
          <w:sz w:val="20"/>
          <w:szCs w:val="20"/>
        </w:rPr>
      </w:pPr>
      <w:r>
        <w:rPr>
          <w:rFonts w:ascii="Arial" w:hAnsi="Arial" w:cs="Arial"/>
          <w:sz w:val="20"/>
          <w:szCs w:val="20"/>
          <w:lang w:val="en-GB"/>
        </w:rPr>
        <w:t>I</w:t>
      </w:r>
      <w:r w:rsidR="00E0286F">
        <w:rPr>
          <w:rFonts w:ascii="Arial" w:hAnsi="Arial" w:cs="Arial"/>
          <w:sz w:val="20"/>
          <w:szCs w:val="20"/>
          <w:lang w:val="en-GB"/>
        </w:rPr>
        <w:t xml:space="preserve">f RAN/RAN4 </w:t>
      </w:r>
      <w:r>
        <w:rPr>
          <w:rFonts w:ascii="Arial" w:hAnsi="Arial" w:cs="Arial"/>
          <w:sz w:val="20"/>
          <w:szCs w:val="20"/>
          <w:lang w:val="en-GB"/>
        </w:rPr>
        <w:t xml:space="preserve">would </w:t>
      </w:r>
      <w:r w:rsidR="00E0286F">
        <w:rPr>
          <w:rFonts w:ascii="Arial" w:hAnsi="Arial" w:cs="Arial"/>
          <w:sz w:val="20"/>
          <w:szCs w:val="20"/>
          <w:lang w:val="en-GB"/>
        </w:rPr>
        <w:t xml:space="preserve">decide to </w:t>
      </w:r>
      <w:r w:rsidR="00E0286F">
        <w:rPr>
          <w:rFonts w:ascii="Arial" w:hAnsi="Arial" w:cs="Arial"/>
          <w:sz w:val="20"/>
          <w:szCs w:val="20"/>
        </w:rPr>
        <w:t xml:space="preserve">introduce PC1.5 for inter-band UL CA/DC with 2Tx in Rel-18 timeframe, </w:t>
      </w:r>
      <w:r>
        <w:rPr>
          <w:rFonts w:ascii="Arial" w:hAnsi="Arial" w:cs="Arial"/>
          <w:sz w:val="20"/>
          <w:szCs w:val="20"/>
          <w:lang w:val="en-GB"/>
        </w:rPr>
        <w:t>from RAN4 workload concern perspective,</w:t>
      </w:r>
      <w:r>
        <w:rPr>
          <w:rFonts w:ascii="Arial" w:hAnsi="Arial" w:cs="Arial"/>
          <w:sz w:val="20"/>
          <w:szCs w:val="20"/>
        </w:rPr>
        <w:t xml:space="preserve"> </w:t>
      </w:r>
      <w:r w:rsidR="00E0286F">
        <w:rPr>
          <w:rFonts w:ascii="Arial" w:hAnsi="Arial" w:cs="Arial"/>
          <w:sz w:val="20"/>
          <w:szCs w:val="20"/>
        </w:rPr>
        <w:t xml:space="preserve">we think the </w:t>
      </w:r>
      <w:r>
        <w:rPr>
          <w:rFonts w:ascii="Arial" w:hAnsi="Arial" w:cs="Arial"/>
          <w:sz w:val="20"/>
          <w:szCs w:val="20"/>
        </w:rPr>
        <w:t>work scope should be limited to (PC2 TDD + PC2 TDD) configuration only.</w:t>
      </w:r>
    </w:p>
    <w:p w14:paraId="55B548D8" w14:textId="77777777" w:rsidR="008A1D3B" w:rsidRDefault="008A1D3B" w:rsidP="008A1D3B">
      <w:pPr>
        <w:jc w:val="both"/>
        <w:rPr>
          <w:rFonts w:ascii="Arial" w:hAnsi="Arial" w:cs="Arial"/>
          <w:sz w:val="20"/>
          <w:szCs w:val="20"/>
        </w:rPr>
      </w:pPr>
    </w:p>
    <w:p w14:paraId="1AE34659" w14:textId="69FE49F5" w:rsidR="008A1D3B" w:rsidRPr="00217DB5" w:rsidRDefault="008A1D3B" w:rsidP="00E0286F">
      <w:pPr>
        <w:spacing w:after="120"/>
        <w:jc w:val="both"/>
        <w:rPr>
          <w:rFonts w:ascii="Arial" w:hAnsi="Arial" w:cs="Arial"/>
          <w:i/>
          <w:iCs/>
          <w:sz w:val="20"/>
          <w:szCs w:val="20"/>
        </w:rPr>
      </w:pPr>
      <w:r w:rsidRPr="00217DB5">
        <w:rPr>
          <w:rFonts w:ascii="Arial" w:hAnsi="Arial" w:cs="Arial"/>
          <w:b/>
          <w:bCs/>
          <w:i/>
          <w:iCs/>
          <w:sz w:val="20"/>
          <w:szCs w:val="20"/>
        </w:rPr>
        <w:t>Proposal</w:t>
      </w:r>
      <w:r w:rsidR="00217DB5" w:rsidRPr="00217DB5">
        <w:rPr>
          <w:rFonts w:ascii="Arial" w:hAnsi="Arial" w:cs="Arial"/>
          <w:b/>
          <w:bCs/>
          <w:i/>
          <w:iCs/>
          <w:sz w:val="20"/>
          <w:szCs w:val="20"/>
        </w:rPr>
        <w:t xml:space="preserve"> </w:t>
      </w:r>
      <w:r w:rsidR="00217DB5">
        <w:rPr>
          <w:rFonts w:ascii="Arial" w:hAnsi="Arial" w:cs="Arial"/>
          <w:b/>
          <w:bCs/>
          <w:i/>
          <w:iCs/>
          <w:sz w:val="20"/>
          <w:szCs w:val="20"/>
        </w:rPr>
        <w:t>2</w:t>
      </w:r>
      <w:r w:rsidRPr="00217DB5">
        <w:rPr>
          <w:rFonts w:ascii="Arial" w:hAnsi="Arial" w:cs="Arial"/>
          <w:i/>
          <w:iCs/>
          <w:sz w:val="20"/>
          <w:szCs w:val="20"/>
        </w:rPr>
        <w:t>: If PC1.5 inter-band UL CA/DC with 2Tx would be introduced in Rel-18 timeframe, the work scope should be limited to (PC2 TDD + PC2 TDD) configuration only.</w:t>
      </w:r>
    </w:p>
    <w:p w14:paraId="760244BC" w14:textId="77777777" w:rsidR="008A1D3B" w:rsidRDefault="008A1D3B" w:rsidP="008A1D3B">
      <w:pPr>
        <w:jc w:val="both"/>
        <w:rPr>
          <w:rFonts w:ascii="Arial" w:hAnsi="Arial" w:cs="Arial"/>
          <w:sz w:val="20"/>
          <w:szCs w:val="20"/>
        </w:rPr>
      </w:pPr>
    </w:p>
    <w:p w14:paraId="49ADB3C0" w14:textId="1C4A3BBC" w:rsidR="0089763E" w:rsidRDefault="008A1D3B" w:rsidP="00E0286F">
      <w:pPr>
        <w:spacing w:after="120"/>
        <w:jc w:val="both"/>
        <w:rPr>
          <w:rFonts w:ascii="Arial" w:hAnsi="Arial" w:cs="Arial"/>
          <w:sz w:val="20"/>
          <w:szCs w:val="20"/>
        </w:rPr>
      </w:pPr>
      <w:r>
        <w:rPr>
          <w:rFonts w:ascii="Arial" w:hAnsi="Arial" w:cs="Arial"/>
          <w:sz w:val="20"/>
          <w:szCs w:val="20"/>
        </w:rPr>
        <w:t xml:space="preserve">One further consideration </w:t>
      </w:r>
      <w:r w:rsidR="00ED78FF">
        <w:rPr>
          <w:rFonts w:ascii="Arial" w:hAnsi="Arial" w:cs="Arial"/>
          <w:sz w:val="20"/>
          <w:szCs w:val="20"/>
        </w:rPr>
        <w:t xml:space="preserve">for this WID </w:t>
      </w:r>
      <w:r>
        <w:rPr>
          <w:rFonts w:ascii="Arial" w:hAnsi="Arial" w:cs="Arial"/>
          <w:sz w:val="20"/>
          <w:szCs w:val="20"/>
        </w:rPr>
        <w:t>is the “</w:t>
      </w:r>
      <w:r w:rsidR="00ED78FF" w:rsidRPr="00ED78FF">
        <w:rPr>
          <w:rFonts w:ascii="Arial" w:hAnsi="Arial" w:cs="Arial"/>
          <w:sz w:val="20"/>
          <w:szCs w:val="20"/>
        </w:rPr>
        <w:t>increasing UE power high limit</w:t>
      </w:r>
      <w:r>
        <w:rPr>
          <w:rFonts w:ascii="Arial" w:hAnsi="Arial" w:cs="Arial"/>
          <w:sz w:val="20"/>
          <w:szCs w:val="20"/>
        </w:rPr>
        <w:t xml:space="preserve">” feature </w:t>
      </w:r>
      <w:r w:rsidR="00357A80">
        <w:rPr>
          <w:rFonts w:ascii="Arial" w:hAnsi="Arial" w:cs="Arial"/>
          <w:sz w:val="20"/>
          <w:szCs w:val="20"/>
        </w:rPr>
        <w:t xml:space="preserve">[3] </w:t>
      </w:r>
      <w:r w:rsidR="00ED78FF">
        <w:rPr>
          <w:rFonts w:ascii="Arial" w:hAnsi="Arial" w:cs="Arial"/>
          <w:sz w:val="20"/>
          <w:szCs w:val="20"/>
        </w:rPr>
        <w:t xml:space="preserve">for the </w:t>
      </w:r>
      <w:r>
        <w:rPr>
          <w:rFonts w:ascii="Arial" w:hAnsi="Arial" w:cs="Arial"/>
          <w:sz w:val="20"/>
          <w:szCs w:val="20"/>
        </w:rPr>
        <w:t>inter-band UL CA/DC with 3Tx</w:t>
      </w:r>
      <w:r w:rsidR="00ED78FF">
        <w:rPr>
          <w:rFonts w:ascii="Arial" w:hAnsi="Arial" w:cs="Arial"/>
          <w:sz w:val="20"/>
          <w:szCs w:val="20"/>
        </w:rPr>
        <w:t xml:space="preserve"> objective which was brought up during the WID discussions in last plenary meeting. Though the decision was to descope the “</w:t>
      </w:r>
      <w:r w:rsidR="00ED78FF" w:rsidRPr="00ED78FF">
        <w:rPr>
          <w:rFonts w:ascii="Arial" w:hAnsi="Arial" w:cs="Arial"/>
          <w:sz w:val="20"/>
          <w:szCs w:val="20"/>
        </w:rPr>
        <w:t>increasing UE power high limit</w:t>
      </w:r>
      <w:r w:rsidR="00ED78FF">
        <w:rPr>
          <w:rFonts w:ascii="Arial" w:hAnsi="Arial" w:cs="Arial"/>
          <w:sz w:val="20"/>
          <w:szCs w:val="20"/>
        </w:rPr>
        <w:t>” feature for this WID as some companies suggested that it can be handled in the Rel-18 coverage enhancement WID [</w:t>
      </w:r>
      <w:r w:rsidR="00357A80">
        <w:rPr>
          <w:rFonts w:ascii="Arial" w:hAnsi="Arial" w:cs="Arial"/>
          <w:sz w:val="20"/>
          <w:szCs w:val="20"/>
        </w:rPr>
        <w:t>4</w:t>
      </w:r>
      <w:r w:rsidR="00ED78FF">
        <w:rPr>
          <w:rFonts w:ascii="Arial" w:hAnsi="Arial" w:cs="Arial"/>
          <w:sz w:val="20"/>
          <w:szCs w:val="20"/>
        </w:rPr>
        <w:t xml:space="preserve">]. </w:t>
      </w:r>
      <w:r w:rsidR="0089763E">
        <w:rPr>
          <w:rFonts w:ascii="Arial" w:hAnsi="Arial" w:cs="Arial"/>
          <w:sz w:val="20"/>
          <w:szCs w:val="20"/>
        </w:rPr>
        <w:t>In our view, if the “</w:t>
      </w:r>
      <w:r w:rsidR="0089763E" w:rsidRPr="00ED78FF">
        <w:rPr>
          <w:rFonts w:ascii="Arial" w:hAnsi="Arial" w:cs="Arial"/>
          <w:sz w:val="20"/>
          <w:szCs w:val="20"/>
        </w:rPr>
        <w:t>increasing UE power high limit</w:t>
      </w:r>
      <w:r w:rsidR="0089763E">
        <w:rPr>
          <w:rFonts w:ascii="Arial" w:hAnsi="Arial" w:cs="Arial"/>
          <w:sz w:val="20"/>
          <w:szCs w:val="20"/>
        </w:rPr>
        <w:t>” feature would be revived for the intended inter-band UL CA/DC with 3Tx configurations, it is better to jointly develop the two features in the same WID, especially for the PC1.5 3Tx configurations.</w:t>
      </w:r>
    </w:p>
    <w:p w14:paraId="4BDD4F96" w14:textId="77777777" w:rsidR="0089763E" w:rsidRDefault="0089763E" w:rsidP="0089763E">
      <w:pPr>
        <w:jc w:val="both"/>
        <w:rPr>
          <w:rFonts w:ascii="Arial" w:hAnsi="Arial" w:cs="Arial"/>
          <w:sz w:val="20"/>
          <w:szCs w:val="20"/>
        </w:rPr>
      </w:pPr>
    </w:p>
    <w:p w14:paraId="268AB697" w14:textId="43ECA7B3" w:rsidR="00E0286F" w:rsidRPr="00217DB5" w:rsidRDefault="0089763E" w:rsidP="00E0286F">
      <w:pPr>
        <w:spacing w:after="120"/>
        <w:jc w:val="both"/>
        <w:rPr>
          <w:rFonts w:ascii="Arial" w:hAnsi="Arial" w:cs="Arial"/>
          <w:i/>
          <w:iCs/>
          <w:sz w:val="20"/>
          <w:szCs w:val="20"/>
          <w:lang w:val="en-GB"/>
        </w:rPr>
      </w:pPr>
      <w:r w:rsidRPr="00217DB5">
        <w:rPr>
          <w:rFonts w:ascii="Arial" w:hAnsi="Arial" w:cs="Arial"/>
          <w:b/>
          <w:bCs/>
          <w:i/>
          <w:iCs/>
          <w:sz w:val="20"/>
          <w:szCs w:val="20"/>
        </w:rPr>
        <w:t xml:space="preserve">Proposal </w:t>
      </w:r>
      <w:r w:rsidR="00217DB5">
        <w:rPr>
          <w:rFonts w:ascii="Arial" w:hAnsi="Arial" w:cs="Arial"/>
          <w:b/>
          <w:bCs/>
          <w:i/>
          <w:iCs/>
          <w:sz w:val="20"/>
          <w:szCs w:val="20"/>
        </w:rPr>
        <w:t>3</w:t>
      </w:r>
      <w:r w:rsidRPr="00217DB5">
        <w:rPr>
          <w:rFonts w:ascii="Arial" w:hAnsi="Arial" w:cs="Arial"/>
          <w:i/>
          <w:iCs/>
          <w:sz w:val="20"/>
          <w:szCs w:val="20"/>
        </w:rPr>
        <w:t xml:space="preserve">: The “increasing UE power high limit” feature for the intended inter-band UL CA/DC with 3Tx configurations should be jointly developed in the same WID instead of being </w:t>
      </w:r>
      <w:r w:rsidR="00217DB5" w:rsidRPr="00217DB5">
        <w:rPr>
          <w:rFonts w:ascii="Arial" w:hAnsi="Arial" w:cs="Arial"/>
          <w:i/>
          <w:iCs/>
          <w:sz w:val="20"/>
          <w:szCs w:val="20"/>
        </w:rPr>
        <w:t>handled in separate WIDs.</w:t>
      </w:r>
      <w:r w:rsidRPr="00217DB5">
        <w:rPr>
          <w:rFonts w:ascii="Arial" w:hAnsi="Arial" w:cs="Arial"/>
          <w:i/>
          <w:iCs/>
          <w:sz w:val="20"/>
          <w:szCs w:val="20"/>
        </w:rPr>
        <w:t xml:space="preserve">  </w:t>
      </w:r>
      <w:r w:rsidR="00ED78FF" w:rsidRPr="00217DB5">
        <w:rPr>
          <w:rFonts w:ascii="Arial" w:hAnsi="Arial" w:cs="Arial"/>
          <w:i/>
          <w:iCs/>
          <w:sz w:val="20"/>
          <w:szCs w:val="20"/>
        </w:rPr>
        <w:t xml:space="preserve">   </w:t>
      </w:r>
      <w:r w:rsidR="008A1D3B" w:rsidRPr="00217DB5">
        <w:rPr>
          <w:rFonts w:ascii="Arial" w:hAnsi="Arial" w:cs="Arial"/>
          <w:i/>
          <w:iCs/>
          <w:sz w:val="20"/>
          <w:szCs w:val="20"/>
        </w:rPr>
        <w:t xml:space="preserve">     </w:t>
      </w:r>
    </w:p>
    <w:p w14:paraId="6010D836" w14:textId="77777777" w:rsidR="00E0286F" w:rsidRPr="009918E9" w:rsidRDefault="00E0286F" w:rsidP="002A394A">
      <w:pPr>
        <w:jc w:val="both"/>
        <w:rPr>
          <w:rFonts w:ascii="Arial" w:hAnsi="Arial" w:cs="Arial"/>
          <w:sz w:val="20"/>
          <w:szCs w:val="20"/>
        </w:rPr>
      </w:pPr>
    </w:p>
    <w:p w14:paraId="34C99636" w14:textId="49E691C5" w:rsidR="008E7986" w:rsidRDefault="008E7986" w:rsidP="002A394A">
      <w:pPr>
        <w:pStyle w:val="Heading1"/>
        <w:spacing w:before="120" w:after="120"/>
        <w:ind w:left="1138" w:hanging="1138"/>
      </w:pPr>
      <w:r>
        <w:t>3</w:t>
      </w:r>
      <w:r>
        <w:tab/>
      </w:r>
      <w:r w:rsidR="00217DB5">
        <w:t>Conclusion</w:t>
      </w:r>
    </w:p>
    <w:p w14:paraId="0655AEDA" w14:textId="77777777" w:rsidR="00EA73AA" w:rsidRDefault="00EA73AA" w:rsidP="00EA73AA">
      <w:pPr>
        <w:overflowPunct w:val="0"/>
        <w:autoSpaceDE w:val="0"/>
        <w:autoSpaceDN w:val="0"/>
        <w:adjustRightInd w:val="0"/>
        <w:jc w:val="both"/>
        <w:textAlignment w:val="baseline"/>
        <w:rPr>
          <w:rFonts w:ascii="Arial" w:hAnsi="Arial" w:cs="Arial"/>
          <w:sz w:val="20"/>
          <w:szCs w:val="20"/>
          <w:lang w:val="en-GB"/>
        </w:rPr>
      </w:pPr>
    </w:p>
    <w:p w14:paraId="133D5B19" w14:textId="2E2CB528" w:rsidR="00EA73AA" w:rsidRDefault="00217DB5" w:rsidP="00EA73AA">
      <w:pPr>
        <w:overflowPunct w:val="0"/>
        <w:autoSpaceDE w:val="0"/>
        <w:autoSpaceDN w:val="0"/>
        <w:adjustRightInd w:val="0"/>
        <w:spacing w:after="120"/>
        <w:jc w:val="both"/>
        <w:textAlignment w:val="baseline"/>
        <w:rPr>
          <w:rFonts w:ascii="Arial" w:hAnsi="Arial" w:cs="Arial"/>
          <w:sz w:val="20"/>
          <w:szCs w:val="20"/>
        </w:rPr>
      </w:pPr>
      <w:r>
        <w:rPr>
          <w:rFonts w:ascii="Arial" w:hAnsi="Arial" w:cs="Arial"/>
          <w:sz w:val="20"/>
          <w:szCs w:val="20"/>
        </w:rPr>
        <w:t>In this contribution, we share our views on the scoping of PC1.5 inter-band UL CA/DC feature with 2Tx and 3Tx and provide a few options on feature development procedure for consideration.</w:t>
      </w:r>
    </w:p>
    <w:p w14:paraId="5AE18706" w14:textId="77777777" w:rsidR="00EA73AA" w:rsidRPr="00EA73AA" w:rsidRDefault="00EA73AA" w:rsidP="00EA73AA">
      <w:pPr>
        <w:jc w:val="both"/>
        <w:rPr>
          <w:rFonts w:ascii="Arial" w:hAnsi="Arial" w:cs="Arial"/>
          <w:sz w:val="20"/>
          <w:szCs w:val="20"/>
        </w:rPr>
      </w:pPr>
    </w:p>
    <w:p w14:paraId="3F27B159" w14:textId="77777777" w:rsidR="00217DB5" w:rsidRPr="00217DB5" w:rsidRDefault="00217DB5" w:rsidP="00217DB5">
      <w:pPr>
        <w:spacing w:after="120"/>
        <w:jc w:val="both"/>
        <w:rPr>
          <w:rFonts w:ascii="Arial" w:hAnsi="Arial" w:cs="Arial"/>
          <w:i/>
          <w:iCs/>
          <w:sz w:val="20"/>
          <w:szCs w:val="20"/>
        </w:rPr>
      </w:pPr>
      <w:r w:rsidRPr="00217DB5">
        <w:rPr>
          <w:rFonts w:ascii="Arial" w:hAnsi="Arial" w:cs="Arial"/>
          <w:b/>
          <w:bCs/>
          <w:i/>
          <w:iCs/>
          <w:sz w:val="20"/>
          <w:szCs w:val="20"/>
        </w:rPr>
        <w:t>Proposal 1</w:t>
      </w:r>
      <w:r w:rsidRPr="00217DB5">
        <w:rPr>
          <w:rFonts w:ascii="Arial" w:hAnsi="Arial" w:cs="Arial"/>
          <w:i/>
          <w:iCs/>
          <w:sz w:val="20"/>
          <w:szCs w:val="20"/>
        </w:rPr>
        <w:t>: RAN/RAN4 to consider the following options on the feature development procedure for PC1.5 inter-band UL CA/DC with 2Tx and 3Tx:</w:t>
      </w:r>
    </w:p>
    <w:p w14:paraId="70CB700E" w14:textId="77777777" w:rsidR="00217DB5" w:rsidRDefault="00217DB5" w:rsidP="00217DB5">
      <w:pPr>
        <w:jc w:val="both"/>
        <w:rPr>
          <w:rFonts w:ascii="Arial" w:hAnsi="Arial" w:cs="Arial"/>
          <w:sz w:val="20"/>
          <w:szCs w:val="20"/>
        </w:rPr>
      </w:pPr>
    </w:p>
    <w:p w14:paraId="4796C94A" w14:textId="314399CF" w:rsidR="00217DB5" w:rsidRPr="00E0286F" w:rsidRDefault="00217DB5" w:rsidP="00217DB5">
      <w:pPr>
        <w:ind w:left="288"/>
        <w:jc w:val="both"/>
        <w:rPr>
          <w:rFonts w:ascii="Arial" w:hAnsi="Arial" w:cs="Arial"/>
          <w:i/>
          <w:iCs/>
          <w:sz w:val="20"/>
          <w:szCs w:val="20"/>
        </w:rPr>
      </w:pPr>
      <w:r w:rsidRPr="00E0286F">
        <w:rPr>
          <w:rFonts w:ascii="Arial" w:hAnsi="Arial" w:cs="Arial"/>
          <w:b/>
          <w:bCs/>
          <w:i/>
          <w:iCs/>
          <w:sz w:val="20"/>
          <w:szCs w:val="20"/>
        </w:rPr>
        <w:t>Option 1</w:t>
      </w:r>
      <w:r w:rsidRPr="00E0286F">
        <w:rPr>
          <w:rFonts w:ascii="Arial" w:hAnsi="Arial" w:cs="Arial"/>
          <w:i/>
          <w:iCs/>
          <w:sz w:val="20"/>
          <w:szCs w:val="20"/>
        </w:rPr>
        <w:t>: Revise the objectives of the current WID for “</w:t>
      </w:r>
      <w:r w:rsidRPr="00E0286F">
        <w:rPr>
          <w:rFonts w:ascii="Arial" w:hAnsi="Arial" w:cs="Arial"/>
          <w:bCs/>
          <w:i/>
          <w:iCs/>
          <w:sz w:val="20"/>
          <w:szCs w:val="20"/>
          <w:lang w:val="en-GB"/>
        </w:rPr>
        <w:t xml:space="preserve">Low NR band 4Rx for handheld UE and 3Tx for inter-band UL CA and EN-DC” to include PC1.5 inter-band UL CA/DC with </w:t>
      </w:r>
      <w:r w:rsidRPr="00E0286F">
        <w:rPr>
          <w:rFonts w:ascii="Arial" w:hAnsi="Arial" w:cs="Arial"/>
          <w:i/>
          <w:iCs/>
          <w:sz w:val="20"/>
          <w:szCs w:val="20"/>
        </w:rPr>
        <w:t>2Tx configuration.</w:t>
      </w:r>
    </w:p>
    <w:p w14:paraId="7EB4EDA0" w14:textId="77777777" w:rsidR="00217DB5" w:rsidRDefault="00217DB5" w:rsidP="00217DB5">
      <w:pPr>
        <w:ind w:left="284"/>
        <w:jc w:val="both"/>
        <w:rPr>
          <w:rFonts w:ascii="Arial" w:hAnsi="Arial" w:cs="Arial"/>
          <w:sz w:val="20"/>
          <w:szCs w:val="20"/>
        </w:rPr>
      </w:pPr>
    </w:p>
    <w:p w14:paraId="7E0D19D8" w14:textId="77777777" w:rsidR="00217DB5" w:rsidRPr="00E0286F" w:rsidRDefault="00217DB5" w:rsidP="00217DB5">
      <w:pPr>
        <w:ind w:left="288"/>
        <w:jc w:val="both"/>
        <w:rPr>
          <w:rFonts w:ascii="Arial" w:hAnsi="Arial" w:cs="Arial"/>
          <w:bCs/>
          <w:i/>
          <w:iCs/>
          <w:sz w:val="20"/>
          <w:szCs w:val="20"/>
          <w:lang w:val="en-GB"/>
        </w:rPr>
      </w:pPr>
      <w:r w:rsidRPr="00E0286F">
        <w:rPr>
          <w:rFonts w:ascii="Arial" w:hAnsi="Arial" w:cs="Arial"/>
          <w:b/>
          <w:bCs/>
          <w:i/>
          <w:iCs/>
          <w:sz w:val="20"/>
          <w:szCs w:val="20"/>
        </w:rPr>
        <w:t>Option 2</w:t>
      </w:r>
      <w:r w:rsidRPr="00E0286F">
        <w:rPr>
          <w:rFonts w:ascii="Arial" w:hAnsi="Arial" w:cs="Arial"/>
          <w:i/>
          <w:iCs/>
          <w:sz w:val="20"/>
          <w:szCs w:val="20"/>
        </w:rPr>
        <w:t xml:space="preserve">: </w:t>
      </w:r>
      <w:r w:rsidRPr="00E0286F">
        <w:rPr>
          <w:rFonts w:ascii="Arial" w:hAnsi="Arial" w:cs="Arial"/>
          <w:bCs/>
          <w:i/>
          <w:iCs/>
          <w:sz w:val="20"/>
          <w:szCs w:val="20"/>
          <w:lang w:val="en-GB"/>
        </w:rPr>
        <w:t>Instigate a new RAN4 work item to specifically handle the PC1.5 inter-band UL CA/DC with 2Tx feature.</w:t>
      </w:r>
    </w:p>
    <w:p w14:paraId="57A56416" w14:textId="77777777" w:rsidR="00217DB5" w:rsidRDefault="00217DB5" w:rsidP="00217DB5">
      <w:pPr>
        <w:ind w:left="284"/>
        <w:jc w:val="both"/>
        <w:rPr>
          <w:rFonts w:ascii="Arial" w:hAnsi="Arial" w:cs="Arial"/>
          <w:bCs/>
          <w:sz w:val="20"/>
          <w:szCs w:val="20"/>
          <w:lang w:val="en-GB"/>
        </w:rPr>
      </w:pPr>
    </w:p>
    <w:p w14:paraId="7EFD7A21" w14:textId="77777777" w:rsidR="00217DB5" w:rsidRPr="00E0286F" w:rsidRDefault="00217DB5" w:rsidP="00217DB5">
      <w:pPr>
        <w:spacing w:after="120"/>
        <w:ind w:left="284"/>
        <w:jc w:val="both"/>
        <w:rPr>
          <w:rFonts w:ascii="Arial" w:hAnsi="Arial" w:cs="Arial"/>
          <w:i/>
          <w:iCs/>
          <w:sz w:val="20"/>
          <w:szCs w:val="20"/>
        </w:rPr>
      </w:pPr>
      <w:r w:rsidRPr="00E0286F">
        <w:rPr>
          <w:rFonts w:ascii="Arial" w:hAnsi="Arial" w:cs="Arial"/>
          <w:b/>
          <w:i/>
          <w:iCs/>
          <w:sz w:val="20"/>
          <w:szCs w:val="20"/>
          <w:lang w:val="en-GB"/>
        </w:rPr>
        <w:t>Option 3</w:t>
      </w:r>
      <w:r w:rsidRPr="00E0286F">
        <w:rPr>
          <w:rFonts w:ascii="Arial" w:hAnsi="Arial" w:cs="Arial"/>
          <w:bCs/>
          <w:i/>
          <w:iCs/>
          <w:sz w:val="20"/>
          <w:szCs w:val="20"/>
          <w:lang w:val="en-GB"/>
        </w:rPr>
        <w:t xml:space="preserve">: Postpone the PC1.5 for inter-band UL CA/DC feature (including both 2Tx and 3Tx) to Rel-19.  </w:t>
      </w:r>
    </w:p>
    <w:p w14:paraId="4063FCAD" w14:textId="11E7FA55" w:rsidR="00EA73AA" w:rsidRDefault="00EA73AA" w:rsidP="00EA73AA">
      <w:pPr>
        <w:overflowPunct w:val="0"/>
        <w:autoSpaceDE w:val="0"/>
        <w:autoSpaceDN w:val="0"/>
        <w:adjustRightInd w:val="0"/>
        <w:jc w:val="both"/>
        <w:textAlignment w:val="baseline"/>
        <w:rPr>
          <w:rFonts w:ascii="Arial" w:hAnsi="Arial" w:cs="Arial"/>
          <w:sz w:val="20"/>
          <w:szCs w:val="20"/>
          <w:lang w:val="en-GB"/>
        </w:rPr>
      </w:pPr>
      <w:r>
        <w:rPr>
          <w:rFonts w:ascii="Arial" w:hAnsi="Arial" w:cs="Arial"/>
          <w:sz w:val="20"/>
          <w:szCs w:val="20"/>
          <w:lang w:val="en-GB"/>
        </w:rPr>
        <w:t xml:space="preserve">  </w:t>
      </w:r>
    </w:p>
    <w:p w14:paraId="0B7B5B4F" w14:textId="62CE38DA" w:rsidR="00217DB5" w:rsidRDefault="00217DB5" w:rsidP="00357A80">
      <w:pPr>
        <w:overflowPunct w:val="0"/>
        <w:autoSpaceDE w:val="0"/>
        <w:autoSpaceDN w:val="0"/>
        <w:adjustRightInd w:val="0"/>
        <w:spacing w:after="120"/>
        <w:jc w:val="both"/>
        <w:textAlignment w:val="baseline"/>
        <w:rPr>
          <w:rFonts w:ascii="Arial" w:hAnsi="Arial" w:cs="Arial"/>
          <w:i/>
          <w:iCs/>
          <w:sz w:val="20"/>
          <w:szCs w:val="20"/>
        </w:rPr>
      </w:pPr>
      <w:r w:rsidRPr="00217DB5">
        <w:rPr>
          <w:rFonts w:ascii="Arial" w:hAnsi="Arial" w:cs="Arial"/>
          <w:b/>
          <w:bCs/>
          <w:i/>
          <w:iCs/>
          <w:sz w:val="20"/>
          <w:szCs w:val="20"/>
        </w:rPr>
        <w:t xml:space="preserve">Proposal </w:t>
      </w:r>
      <w:r>
        <w:rPr>
          <w:rFonts w:ascii="Arial" w:hAnsi="Arial" w:cs="Arial"/>
          <w:b/>
          <w:bCs/>
          <w:i/>
          <w:iCs/>
          <w:sz w:val="20"/>
          <w:szCs w:val="20"/>
        </w:rPr>
        <w:t>2</w:t>
      </w:r>
      <w:r w:rsidRPr="00217DB5">
        <w:rPr>
          <w:rFonts w:ascii="Arial" w:hAnsi="Arial" w:cs="Arial"/>
          <w:i/>
          <w:iCs/>
          <w:sz w:val="20"/>
          <w:szCs w:val="20"/>
        </w:rPr>
        <w:t>: If PC1.5 inter-band UL CA/DC with 2Tx would be introduced in Rel-18 timeframe, the work scope should be limited to (PC2 TDD + PC2 TDD) configuration only.</w:t>
      </w:r>
    </w:p>
    <w:p w14:paraId="1C67F982" w14:textId="5BDBC2CC" w:rsidR="00357A80" w:rsidRDefault="00357A80" w:rsidP="00EA73AA">
      <w:pPr>
        <w:overflowPunct w:val="0"/>
        <w:autoSpaceDE w:val="0"/>
        <w:autoSpaceDN w:val="0"/>
        <w:adjustRightInd w:val="0"/>
        <w:jc w:val="both"/>
        <w:textAlignment w:val="baseline"/>
        <w:rPr>
          <w:rFonts w:ascii="Arial" w:hAnsi="Arial" w:cs="Arial"/>
          <w:i/>
          <w:iCs/>
          <w:sz w:val="20"/>
          <w:szCs w:val="20"/>
        </w:rPr>
      </w:pPr>
    </w:p>
    <w:p w14:paraId="18CCEC65" w14:textId="6E0CACCA" w:rsidR="00357A80" w:rsidRPr="00EA73AA" w:rsidRDefault="00357A80" w:rsidP="00EA73AA">
      <w:pPr>
        <w:overflowPunct w:val="0"/>
        <w:autoSpaceDE w:val="0"/>
        <w:autoSpaceDN w:val="0"/>
        <w:adjustRightInd w:val="0"/>
        <w:jc w:val="both"/>
        <w:textAlignment w:val="baseline"/>
      </w:pPr>
      <w:r w:rsidRPr="00217DB5">
        <w:rPr>
          <w:rFonts w:ascii="Arial" w:hAnsi="Arial" w:cs="Arial"/>
          <w:b/>
          <w:bCs/>
          <w:i/>
          <w:iCs/>
          <w:sz w:val="20"/>
          <w:szCs w:val="20"/>
        </w:rPr>
        <w:t xml:space="preserve">Proposal </w:t>
      </w:r>
      <w:r>
        <w:rPr>
          <w:rFonts w:ascii="Arial" w:hAnsi="Arial" w:cs="Arial"/>
          <w:b/>
          <w:bCs/>
          <w:i/>
          <w:iCs/>
          <w:sz w:val="20"/>
          <w:szCs w:val="20"/>
        </w:rPr>
        <w:t>3</w:t>
      </w:r>
      <w:r w:rsidRPr="00217DB5">
        <w:rPr>
          <w:rFonts w:ascii="Arial" w:hAnsi="Arial" w:cs="Arial"/>
          <w:i/>
          <w:iCs/>
          <w:sz w:val="20"/>
          <w:szCs w:val="20"/>
        </w:rPr>
        <w:t>: The “increasing UE power high limit” feature for the intended inter-band UL CA/DC with 3Tx configurations should be jointly developed in the same WID instead of being handled in separate WIDs</w:t>
      </w:r>
      <w:r w:rsidR="00ED0611">
        <w:rPr>
          <w:rFonts w:ascii="Arial" w:hAnsi="Arial" w:cs="Arial"/>
          <w:i/>
          <w:iCs/>
          <w:sz w:val="20"/>
          <w:szCs w:val="20"/>
        </w:rPr>
        <w:t>.</w:t>
      </w:r>
    </w:p>
    <w:p w14:paraId="4A11169E" w14:textId="5CBA008C" w:rsidR="000206DB" w:rsidRPr="00EA73AA" w:rsidRDefault="00357A80" w:rsidP="00EA73AA">
      <w:pPr>
        <w:pStyle w:val="Heading1"/>
      </w:pPr>
      <w:r>
        <w:lastRenderedPageBreak/>
        <w:t>4</w:t>
      </w:r>
      <w:r w:rsidR="005E69AE">
        <w:tab/>
        <w:t>References</w:t>
      </w:r>
      <w:bookmarkEnd w:id="0"/>
    </w:p>
    <w:p w14:paraId="49E33B9A" w14:textId="77777777" w:rsidR="00EA73AA" w:rsidRDefault="00EA73AA" w:rsidP="000206DB">
      <w:pPr>
        <w:pStyle w:val="EX"/>
        <w:numPr>
          <w:ilvl w:val="0"/>
          <w:numId w:val="0"/>
        </w:numPr>
        <w:jc w:val="both"/>
        <w:rPr>
          <w:rFonts w:ascii="Arial" w:hAnsi="Arial" w:cs="Arial"/>
        </w:rPr>
      </w:pPr>
    </w:p>
    <w:p w14:paraId="167E4ADE" w14:textId="7C9B3A24" w:rsidR="00357A80" w:rsidRDefault="00357A80" w:rsidP="000F3686">
      <w:pPr>
        <w:pStyle w:val="EX"/>
        <w:spacing w:after="180"/>
        <w:ind w:left="374" w:hanging="374"/>
        <w:jc w:val="both"/>
        <w:rPr>
          <w:rFonts w:ascii="Arial" w:hAnsi="Arial" w:cs="Arial"/>
          <w:bCs/>
          <w:sz w:val="20"/>
          <w:szCs w:val="20"/>
        </w:rPr>
      </w:pPr>
      <w:r w:rsidRPr="008B4249">
        <w:rPr>
          <w:rFonts w:ascii="Arial" w:hAnsi="Arial" w:cs="Arial"/>
          <w:bCs/>
          <w:sz w:val="20"/>
          <w:szCs w:val="20"/>
        </w:rPr>
        <w:t>RP-223</w:t>
      </w:r>
      <w:r>
        <w:rPr>
          <w:rFonts w:ascii="Arial" w:hAnsi="Arial" w:cs="Arial"/>
          <w:bCs/>
          <w:sz w:val="20"/>
          <w:szCs w:val="20"/>
        </w:rPr>
        <w:t>517</w:t>
      </w:r>
      <w:r w:rsidRPr="008B4249">
        <w:rPr>
          <w:rFonts w:ascii="Arial" w:hAnsi="Arial" w:cs="Arial"/>
          <w:bCs/>
          <w:sz w:val="20"/>
          <w:szCs w:val="20"/>
        </w:rPr>
        <w:t xml:space="preserve"> </w:t>
      </w:r>
      <w:r>
        <w:rPr>
          <w:rFonts w:ascii="Arial" w:hAnsi="Arial" w:cs="Arial"/>
          <w:bCs/>
          <w:sz w:val="20"/>
          <w:szCs w:val="20"/>
        </w:rPr>
        <w:t>“</w:t>
      </w:r>
      <w:r w:rsidRPr="00357A80">
        <w:rPr>
          <w:rFonts w:ascii="Arial" w:hAnsi="Arial" w:cs="Arial"/>
          <w:sz w:val="20"/>
          <w:szCs w:val="20"/>
          <w:lang w:val="en-GB"/>
        </w:rPr>
        <w:t>Low NR band 4Rx for handheld UE and 3Tx for inter-band UL CA and EN-D</w:t>
      </w:r>
      <w:r w:rsidRPr="00357A80">
        <w:rPr>
          <w:rFonts w:ascii="Arial" w:hAnsi="Arial" w:cs="Arial"/>
          <w:b/>
          <w:bCs/>
          <w:sz w:val="20"/>
          <w:szCs w:val="20"/>
          <w:lang w:val="en-GB"/>
        </w:rPr>
        <w:t>C</w:t>
      </w:r>
      <w:r>
        <w:rPr>
          <w:rFonts w:ascii="Arial" w:hAnsi="Arial" w:cs="Arial"/>
          <w:bCs/>
          <w:sz w:val="20"/>
          <w:szCs w:val="20"/>
        </w:rPr>
        <w:t>”</w:t>
      </w:r>
      <w:r w:rsidRPr="008B4249">
        <w:rPr>
          <w:rFonts w:ascii="Arial" w:hAnsi="Arial" w:cs="Arial"/>
          <w:bCs/>
          <w:sz w:val="20"/>
          <w:szCs w:val="20"/>
        </w:rPr>
        <w:t>, OPPO</w:t>
      </w:r>
      <w:r>
        <w:rPr>
          <w:rFonts w:ascii="Arial" w:hAnsi="Arial" w:cs="Arial"/>
          <w:bCs/>
          <w:sz w:val="20"/>
          <w:szCs w:val="20"/>
        </w:rPr>
        <w:t xml:space="preserve"> </w:t>
      </w:r>
      <w:r w:rsidRPr="00357A80">
        <w:rPr>
          <w:rFonts w:ascii="Arial" w:hAnsi="Arial" w:cs="Arial"/>
          <w:bCs/>
          <w:i/>
          <w:iCs/>
          <w:sz w:val="20"/>
          <w:szCs w:val="20"/>
        </w:rPr>
        <w:t>et. al.</w:t>
      </w:r>
      <w:r>
        <w:rPr>
          <w:rFonts w:ascii="Arial" w:hAnsi="Arial" w:cs="Arial"/>
          <w:bCs/>
          <w:sz w:val="20"/>
          <w:szCs w:val="20"/>
        </w:rPr>
        <w:t xml:space="preserve">, </w:t>
      </w:r>
      <w:r w:rsidRPr="008B4249">
        <w:rPr>
          <w:rFonts w:ascii="Arial" w:hAnsi="Arial" w:cs="Arial"/>
          <w:bCs/>
          <w:sz w:val="20"/>
          <w:szCs w:val="20"/>
        </w:rPr>
        <w:t>3GPP TSG-RAN Meeting #9</w:t>
      </w:r>
      <w:r>
        <w:rPr>
          <w:rFonts w:ascii="Arial" w:hAnsi="Arial" w:cs="Arial"/>
          <w:bCs/>
          <w:sz w:val="20"/>
          <w:szCs w:val="20"/>
        </w:rPr>
        <w:t>8</w:t>
      </w:r>
      <w:r w:rsidRPr="008B4249">
        <w:rPr>
          <w:rFonts w:ascii="Arial" w:hAnsi="Arial" w:cs="Arial"/>
          <w:bCs/>
          <w:sz w:val="20"/>
          <w:szCs w:val="20"/>
        </w:rPr>
        <w:t xml:space="preserve">-e, Online, </w:t>
      </w:r>
      <w:r>
        <w:rPr>
          <w:rFonts w:ascii="Arial" w:hAnsi="Arial" w:cs="Arial"/>
          <w:bCs/>
          <w:sz w:val="20"/>
          <w:szCs w:val="20"/>
        </w:rPr>
        <w:t>December</w:t>
      </w:r>
      <w:r w:rsidRPr="008B4249">
        <w:rPr>
          <w:rFonts w:ascii="Arial" w:hAnsi="Arial" w:cs="Arial"/>
          <w:bCs/>
          <w:sz w:val="20"/>
          <w:szCs w:val="20"/>
        </w:rPr>
        <w:t xml:space="preserve"> 12</w:t>
      </w:r>
      <w:r w:rsidRPr="008B4249">
        <w:rPr>
          <w:rFonts w:ascii="Arial" w:hAnsi="Arial" w:cs="Arial"/>
          <w:bCs/>
          <w:sz w:val="20"/>
          <w:szCs w:val="20"/>
          <w:vertAlign w:val="superscript"/>
        </w:rPr>
        <w:t>th</w:t>
      </w:r>
      <w:r w:rsidRPr="008B4249">
        <w:rPr>
          <w:rFonts w:ascii="Arial" w:hAnsi="Arial" w:cs="Arial"/>
          <w:bCs/>
          <w:sz w:val="20"/>
          <w:szCs w:val="20"/>
        </w:rPr>
        <w:t xml:space="preserve"> – 16</w:t>
      </w:r>
      <w:r w:rsidRPr="008B4249">
        <w:rPr>
          <w:rFonts w:ascii="Arial" w:hAnsi="Arial" w:cs="Arial"/>
          <w:bCs/>
          <w:sz w:val="20"/>
          <w:szCs w:val="20"/>
          <w:vertAlign w:val="superscript"/>
        </w:rPr>
        <w:t>th</w:t>
      </w:r>
      <w:r w:rsidRPr="008B4249">
        <w:rPr>
          <w:rFonts w:ascii="Arial" w:hAnsi="Arial" w:cs="Arial"/>
          <w:bCs/>
          <w:sz w:val="20"/>
          <w:szCs w:val="20"/>
        </w:rPr>
        <w:t>, 2022</w:t>
      </w:r>
    </w:p>
    <w:p w14:paraId="6A127FBF" w14:textId="5D0F98A6" w:rsidR="00357A80" w:rsidRPr="00357A80" w:rsidRDefault="00357A80" w:rsidP="000F3686">
      <w:pPr>
        <w:pStyle w:val="EX"/>
        <w:spacing w:after="180"/>
        <w:ind w:left="374" w:hanging="374"/>
        <w:jc w:val="both"/>
        <w:rPr>
          <w:rFonts w:ascii="Arial" w:hAnsi="Arial" w:cs="Arial"/>
          <w:bCs/>
          <w:sz w:val="20"/>
          <w:szCs w:val="20"/>
        </w:rPr>
      </w:pPr>
      <w:r>
        <w:rPr>
          <w:rFonts w:ascii="Arial" w:hAnsi="Arial" w:cs="Arial"/>
          <w:bCs/>
          <w:sz w:val="20"/>
          <w:szCs w:val="20"/>
        </w:rPr>
        <w:t>R4-2300361 “</w:t>
      </w:r>
      <w:r w:rsidRPr="00357A80">
        <w:rPr>
          <w:rFonts w:ascii="Arial" w:hAnsi="Arial" w:cs="Arial"/>
          <w:bCs/>
          <w:sz w:val="20"/>
          <w:szCs w:val="20"/>
        </w:rPr>
        <w:t>PC1.5 for inter-band UL CA/DC and MSD framework</w:t>
      </w:r>
      <w:r>
        <w:rPr>
          <w:rFonts w:ascii="Arial" w:hAnsi="Arial" w:cs="Arial"/>
          <w:bCs/>
          <w:sz w:val="20"/>
          <w:szCs w:val="20"/>
        </w:rPr>
        <w:t xml:space="preserve">”, Apple, </w:t>
      </w:r>
      <w:r w:rsidRPr="00357A80">
        <w:rPr>
          <w:rFonts w:ascii="Arial" w:hAnsi="Arial" w:cs="Arial"/>
          <w:bCs/>
          <w:sz w:val="20"/>
          <w:szCs w:val="20"/>
        </w:rPr>
        <w:t>3GPP RAN WG4 Meeting #106</w:t>
      </w:r>
      <w:r>
        <w:rPr>
          <w:rFonts w:ascii="Arial" w:hAnsi="Arial" w:cs="Arial"/>
          <w:bCs/>
          <w:sz w:val="20"/>
          <w:szCs w:val="20"/>
        </w:rPr>
        <w:t xml:space="preserve">, </w:t>
      </w:r>
      <w:r w:rsidRPr="00357A80">
        <w:rPr>
          <w:rFonts w:ascii="Arial" w:hAnsi="Arial" w:cs="Arial"/>
          <w:bCs/>
          <w:sz w:val="20"/>
          <w:szCs w:val="20"/>
        </w:rPr>
        <w:t>Athens, Greece, February 27</w:t>
      </w:r>
      <w:r w:rsidRPr="00357A80">
        <w:rPr>
          <w:rFonts w:ascii="Arial" w:hAnsi="Arial" w:cs="Arial"/>
          <w:bCs/>
          <w:sz w:val="20"/>
          <w:szCs w:val="20"/>
          <w:vertAlign w:val="superscript"/>
        </w:rPr>
        <w:t>th</w:t>
      </w:r>
      <w:r w:rsidRPr="00357A80">
        <w:rPr>
          <w:rFonts w:ascii="Arial" w:hAnsi="Arial" w:cs="Arial"/>
          <w:bCs/>
          <w:sz w:val="20"/>
          <w:szCs w:val="20"/>
        </w:rPr>
        <w:t xml:space="preserve"> – March 3</w:t>
      </w:r>
      <w:r w:rsidRPr="00357A80">
        <w:rPr>
          <w:rFonts w:ascii="Arial" w:hAnsi="Arial" w:cs="Arial"/>
          <w:bCs/>
          <w:sz w:val="20"/>
          <w:szCs w:val="20"/>
          <w:vertAlign w:val="superscript"/>
        </w:rPr>
        <w:t>rd</w:t>
      </w:r>
      <w:r w:rsidRPr="00357A80">
        <w:rPr>
          <w:rFonts w:ascii="Arial" w:hAnsi="Arial" w:cs="Arial"/>
          <w:bCs/>
          <w:sz w:val="20"/>
          <w:szCs w:val="20"/>
        </w:rPr>
        <w:t>, 2023</w:t>
      </w:r>
    </w:p>
    <w:p w14:paraId="7C42CCD6" w14:textId="66E2665F" w:rsidR="0057672C" w:rsidRPr="00E0765D" w:rsidRDefault="001C3E72" w:rsidP="000F3686">
      <w:pPr>
        <w:pStyle w:val="EX"/>
        <w:spacing w:after="180"/>
        <w:ind w:left="374" w:hanging="374"/>
        <w:jc w:val="both"/>
        <w:rPr>
          <w:rFonts w:ascii="Arial" w:hAnsi="Arial" w:cs="Arial"/>
          <w:bCs/>
          <w:sz w:val="20"/>
          <w:szCs w:val="20"/>
        </w:rPr>
      </w:pPr>
      <w:r w:rsidRPr="001C3E72">
        <w:rPr>
          <w:rFonts w:ascii="Arial" w:hAnsi="Arial" w:cs="Arial"/>
          <w:bCs/>
          <w:sz w:val="20"/>
          <w:szCs w:val="20"/>
          <w:lang w:val="en-GB"/>
        </w:rPr>
        <w:t>RP-212163 “New WID: Increasing UE power high limit for CA and DC”, China Telecom, Qualcomm, 3GPP TSG-RAN Meeting #93-e, September 13</w:t>
      </w:r>
      <w:r w:rsidRPr="001C3E72">
        <w:rPr>
          <w:rFonts w:ascii="Arial" w:hAnsi="Arial" w:cs="Arial"/>
          <w:bCs/>
          <w:sz w:val="20"/>
          <w:szCs w:val="20"/>
          <w:vertAlign w:val="superscript"/>
          <w:lang w:val="en-GB"/>
        </w:rPr>
        <w:t>th</w:t>
      </w:r>
      <w:r w:rsidRPr="001C3E72">
        <w:rPr>
          <w:rFonts w:ascii="Arial" w:hAnsi="Arial" w:cs="Arial"/>
          <w:bCs/>
          <w:sz w:val="20"/>
          <w:szCs w:val="20"/>
          <w:lang w:val="en-GB"/>
        </w:rPr>
        <w:t xml:space="preserve"> – 17</w:t>
      </w:r>
      <w:r w:rsidRPr="001C3E72">
        <w:rPr>
          <w:rFonts w:ascii="Arial" w:hAnsi="Arial" w:cs="Arial"/>
          <w:bCs/>
          <w:sz w:val="20"/>
          <w:szCs w:val="20"/>
          <w:vertAlign w:val="superscript"/>
          <w:lang w:val="en-GB"/>
        </w:rPr>
        <w:t>th</w:t>
      </w:r>
      <w:r w:rsidRPr="001C3E72">
        <w:rPr>
          <w:rFonts w:ascii="Arial" w:hAnsi="Arial" w:cs="Arial"/>
          <w:bCs/>
          <w:sz w:val="20"/>
          <w:szCs w:val="20"/>
          <w:lang w:val="en-GB"/>
        </w:rPr>
        <w:t>, 2021</w:t>
      </w:r>
    </w:p>
    <w:p w14:paraId="7833EBAE" w14:textId="7D44C35D" w:rsidR="00E0765D" w:rsidRPr="000F3686" w:rsidRDefault="00ED0611" w:rsidP="000F3686">
      <w:pPr>
        <w:pStyle w:val="EX"/>
        <w:spacing w:after="180"/>
        <w:ind w:left="374" w:hanging="374"/>
        <w:jc w:val="both"/>
        <w:rPr>
          <w:rFonts w:ascii="Arial" w:hAnsi="Arial" w:cs="Arial"/>
          <w:bCs/>
          <w:sz w:val="20"/>
          <w:szCs w:val="20"/>
        </w:rPr>
      </w:pPr>
      <w:r w:rsidRPr="00ED0611">
        <w:rPr>
          <w:rFonts w:ascii="Arial" w:hAnsi="Arial" w:cs="Arial"/>
          <w:bCs/>
          <w:sz w:val="20"/>
          <w:szCs w:val="20"/>
          <w:lang w:val="en-GB"/>
        </w:rPr>
        <w:t>RP-221858</w:t>
      </w:r>
      <w:r w:rsidR="00E0765D">
        <w:rPr>
          <w:rFonts w:ascii="Arial" w:hAnsi="Arial" w:cs="Arial"/>
          <w:bCs/>
          <w:sz w:val="20"/>
          <w:szCs w:val="20"/>
          <w:lang w:val="en-GB"/>
        </w:rPr>
        <w:t xml:space="preserve"> “</w:t>
      </w:r>
      <w:r w:rsidRPr="00ED0611">
        <w:rPr>
          <w:rFonts w:ascii="Arial" w:hAnsi="Arial" w:cs="Arial"/>
          <w:sz w:val="20"/>
          <w:szCs w:val="20"/>
          <w:lang w:val="en-GB"/>
        </w:rPr>
        <w:t>Revised WID on Further NR coverage enhancements</w:t>
      </w:r>
      <w:r w:rsidR="00E0765D">
        <w:rPr>
          <w:rFonts w:ascii="Arial" w:hAnsi="Arial" w:cs="Arial"/>
          <w:sz w:val="20"/>
          <w:szCs w:val="20"/>
          <w:lang w:val="en-GB"/>
        </w:rPr>
        <w:t xml:space="preserve">”, </w:t>
      </w:r>
      <w:r>
        <w:rPr>
          <w:rFonts w:ascii="Arial" w:hAnsi="Arial" w:cs="Arial"/>
          <w:sz w:val="20"/>
          <w:szCs w:val="20"/>
          <w:lang w:val="en-GB"/>
        </w:rPr>
        <w:t>China Telecom</w:t>
      </w:r>
      <w:r w:rsidR="00E0765D">
        <w:rPr>
          <w:rFonts w:ascii="Arial" w:hAnsi="Arial" w:cs="Arial"/>
          <w:sz w:val="20"/>
          <w:szCs w:val="20"/>
          <w:lang w:val="en-GB"/>
        </w:rPr>
        <w:t xml:space="preserve">, </w:t>
      </w:r>
      <w:r w:rsidR="00E0765D" w:rsidRPr="00E0765D">
        <w:rPr>
          <w:rFonts w:ascii="Arial" w:hAnsi="Arial" w:cs="Arial"/>
          <w:bCs/>
          <w:sz w:val="20"/>
          <w:szCs w:val="20"/>
          <w:lang w:val="en-GB"/>
        </w:rPr>
        <w:t>3GPP TSG-RAN Meeting #9</w:t>
      </w:r>
      <w:r>
        <w:rPr>
          <w:rFonts w:ascii="Arial" w:hAnsi="Arial" w:cs="Arial"/>
          <w:bCs/>
          <w:sz w:val="20"/>
          <w:szCs w:val="20"/>
          <w:lang w:val="en-GB"/>
        </w:rPr>
        <w:t>6</w:t>
      </w:r>
      <w:r w:rsidR="00E0765D" w:rsidRPr="00E0765D">
        <w:rPr>
          <w:rFonts w:ascii="Arial" w:hAnsi="Arial" w:cs="Arial"/>
          <w:bCs/>
          <w:sz w:val="20"/>
          <w:szCs w:val="20"/>
          <w:lang w:val="en-GB"/>
        </w:rPr>
        <w:t xml:space="preserve">, </w:t>
      </w:r>
      <w:r>
        <w:rPr>
          <w:rFonts w:ascii="Arial" w:hAnsi="Arial" w:cs="Arial"/>
          <w:bCs/>
          <w:sz w:val="20"/>
          <w:szCs w:val="20"/>
          <w:lang w:val="en-GB"/>
        </w:rPr>
        <w:t>June</w:t>
      </w:r>
      <w:r w:rsidR="00E0765D" w:rsidRPr="00E0765D">
        <w:rPr>
          <w:rFonts w:ascii="Arial" w:hAnsi="Arial" w:cs="Arial"/>
          <w:bCs/>
          <w:sz w:val="20"/>
          <w:szCs w:val="20"/>
          <w:lang w:val="en-GB"/>
        </w:rPr>
        <w:t xml:space="preserve"> </w:t>
      </w:r>
      <w:r>
        <w:rPr>
          <w:rFonts w:ascii="Arial" w:hAnsi="Arial" w:cs="Arial"/>
          <w:bCs/>
          <w:sz w:val="20"/>
          <w:szCs w:val="20"/>
          <w:lang w:val="en-GB"/>
        </w:rPr>
        <w:t>6</w:t>
      </w:r>
      <w:r w:rsidR="00E0765D" w:rsidRPr="00E0765D">
        <w:rPr>
          <w:rFonts w:ascii="Arial" w:hAnsi="Arial" w:cs="Arial"/>
          <w:bCs/>
          <w:sz w:val="20"/>
          <w:szCs w:val="20"/>
          <w:vertAlign w:val="superscript"/>
          <w:lang w:val="en-GB"/>
        </w:rPr>
        <w:t>th</w:t>
      </w:r>
      <w:r w:rsidR="00E0765D" w:rsidRPr="00E0765D">
        <w:rPr>
          <w:rFonts w:ascii="Arial" w:hAnsi="Arial" w:cs="Arial"/>
          <w:bCs/>
          <w:sz w:val="20"/>
          <w:szCs w:val="20"/>
          <w:lang w:val="en-GB"/>
        </w:rPr>
        <w:t xml:space="preserve"> – </w:t>
      </w:r>
      <w:r>
        <w:rPr>
          <w:rFonts w:ascii="Arial" w:hAnsi="Arial" w:cs="Arial"/>
          <w:bCs/>
          <w:sz w:val="20"/>
          <w:szCs w:val="20"/>
          <w:lang w:val="en-GB"/>
        </w:rPr>
        <w:t>9</w:t>
      </w:r>
      <w:r w:rsidR="00E0765D" w:rsidRPr="00E0765D">
        <w:rPr>
          <w:rFonts w:ascii="Arial" w:hAnsi="Arial" w:cs="Arial"/>
          <w:bCs/>
          <w:sz w:val="20"/>
          <w:szCs w:val="20"/>
          <w:vertAlign w:val="superscript"/>
          <w:lang w:val="en-GB"/>
        </w:rPr>
        <w:t>th</w:t>
      </w:r>
      <w:r w:rsidR="00E0765D" w:rsidRPr="00E0765D">
        <w:rPr>
          <w:rFonts w:ascii="Arial" w:hAnsi="Arial" w:cs="Arial"/>
          <w:bCs/>
          <w:sz w:val="20"/>
          <w:szCs w:val="20"/>
          <w:lang w:val="en-GB"/>
        </w:rPr>
        <w:t>, 202</w:t>
      </w:r>
      <w:r w:rsidR="00E0765D">
        <w:rPr>
          <w:rFonts w:ascii="Arial" w:hAnsi="Arial" w:cs="Arial"/>
          <w:bCs/>
          <w:sz w:val="20"/>
          <w:szCs w:val="20"/>
          <w:lang w:val="en-GB"/>
        </w:rPr>
        <w:t>2</w:t>
      </w:r>
    </w:p>
    <w:sectPr w:rsidR="00E0765D" w:rsidRPr="000F368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72716" w14:textId="77777777" w:rsidR="00C877C9" w:rsidRDefault="00C877C9">
      <w:r>
        <w:separator/>
      </w:r>
    </w:p>
  </w:endnote>
  <w:endnote w:type="continuationSeparator" w:id="0">
    <w:p w14:paraId="35BDF7A9" w14:textId="77777777" w:rsidR="00C877C9" w:rsidRDefault="00C8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EE191" w14:textId="77777777" w:rsidR="00C877C9" w:rsidRDefault="00C877C9">
      <w:r>
        <w:separator/>
      </w:r>
    </w:p>
  </w:footnote>
  <w:footnote w:type="continuationSeparator" w:id="0">
    <w:p w14:paraId="79C78E62" w14:textId="77777777" w:rsidR="00C877C9" w:rsidRDefault="00C87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B25393"/>
    <w:multiLevelType w:val="hybridMultilevel"/>
    <w:tmpl w:val="E7786D2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3DD2876"/>
    <w:multiLevelType w:val="hybridMultilevel"/>
    <w:tmpl w:val="4FEA3170"/>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00" w:hanging="36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B09B6"/>
    <w:multiLevelType w:val="multilevel"/>
    <w:tmpl w:val="297B0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175B04"/>
    <w:multiLevelType w:val="hybridMultilevel"/>
    <w:tmpl w:val="BF92E934"/>
    <w:lvl w:ilvl="0" w:tplc="04090001">
      <w:start w:val="1"/>
      <w:numFmt w:val="bullet"/>
      <w:lvlText w:val=""/>
      <w:lvlJc w:val="left"/>
      <w:pPr>
        <w:ind w:left="420" w:hanging="420"/>
      </w:pPr>
      <w:rPr>
        <w:rFonts w:ascii="Wingdings" w:hAnsi="Wingdings" w:hint="default"/>
      </w:rPr>
    </w:lvl>
    <w:lvl w:ilvl="1" w:tplc="5396FC28">
      <w:start w:val="1"/>
      <w:numFmt w:val="bullet"/>
      <w:lvlText w:val=""/>
      <w:lvlJc w:val="left"/>
      <w:pPr>
        <w:ind w:left="780" w:hanging="360"/>
      </w:pPr>
      <w:rPr>
        <w:rFonts w:ascii="Symbol" w:hAnsi="Symbol"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201353"/>
    <w:multiLevelType w:val="hybridMultilevel"/>
    <w:tmpl w:val="78D05D3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8D05A4"/>
    <w:multiLevelType w:val="hybridMultilevel"/>
    <w:tmpl w:val="EE141798"/>
    <w:lvl w:ilvl="0" w:tplc="8564E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BC83A3C"/>
    <w:multiLevelType w:val="hybridMultilevel"/>
    <w:tmpl w:val="1FAAFE6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00" w:hanging="36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3C820A0F"/>
    <w:multiLevelType w:val="hybridMultilevel"/>
    <w:tmpl w:val="FE0A823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9E1927"/>
    <w:multiLevelType w:val="hybridMultilevel"/>
    <w:tmpl w:val="240E846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00" w:hanging="36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615557BD"/>
    <w:multiLevelType w:val="hybridMultilevel"/>
    <w:tmpl w:val="9CC6F516"/>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66E23DBC"/>
    <w:multiLevelType w:val="hybridMultilevel"/>
    <w:tmpl w:val="A028B66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00" w:hanging="36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67E036F6"/>
    <w:multiLevelType w:val="hybridMultilevel"/>
    <w:tmpl w:val="777E864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25"/>
  </w:num>
  <w:num w:numId="5" w16cid:durableId="977950936">
    <w:abstractNumId w:val="2"/>
  </w:num>
  <w:num w:numId="6" w16cid:durableId="1850876431">
    <w:abstractNumId w:val="2"/>
  </w:num>
  <w:num w:numId="7" w16cid:durableId="428896142">
    <w:abstractNumId w:val="16"/>
  </w:num>
  <w:num w:numId="8" w16cid:durableId="2080327107">
    <w:abstractNumId w:val="3"/>
  </w:num>
  <w:num w:numId="9" w16cid:durableId="459036515">
    <w:abstractNumId w:val="19"/>
  </w:num>
  <w:num w:numId="10" w16cid:durableId="892421984">
    <w:abstractNumId w:val="6"/>
  </w:num>
  <w:num w:numId="11" w16cid:durableId="973826835">
    <w:abstractNumId w:val="7"/>
  </w:num>
  <w:num w:numId="12" w16cid:durableId="48696969">
    <w:abstractNumId w:val="28"/>
  </w:num>
  <w:num w:numId="13" w16cid:durableId="1621182100">
    <w:abstractNumId w:val="9"/>
  </w:num>
  <w:num w:numId="14" w16cid:durableId="681855791">
    <w:abstractNumId w:val="10"/>
  </w:num>
  <w:num w:numId="15" w16cid:durableId="1387412062">
    <w:abstractNumId w:val="20"/>
  </w:num>
  <w:num w:numId="16" w16cid:durableId="1707214678">
    <w:abstractNumId w:val="29"/>
  </w:num>
  <w:num w:numId="17" w16cid:durableId="1228883719">
    <w:abstractNumId w:val="14"/>
  </w:num>
  <w:num w:numId="18" w16cid:durableId="1736001611">
    <w:abstractNumId w:val="8"/>
  </w:num>
  <w:num w:numId="19" w16cid:durableId="1708026189">
    <w:abstractNumId w:val="27"/>
  </w:num>
  <w:num w:numId="20" w16cid:durableId="193615350">
    <w:abstractNumId w:val="11"/>
  </w:num>
  <w:num w:numId="21" w16cid:durableId="1478179975">
    <w:abstractNumId w:val="15"/>
  </w:num>
  <w:num w:numId="22" w16cid:durableId="1179854639">
    <w:abstractNumId w:val="26"/>
  </w:num>
  <w:num w:numId="23" w16cid:durableId="1664627729">
    <w:abstractNumId w:val="12"/>
  </w:num>
  <w:num w:numId="24" w16cid:durableId="930237549">
    <w:abstractNumId w:val="4"/>
  </w:num>
  <w:num w:numId="25" w16cid:durableId="687096495">
    <w:abstractNumId w:val="18"/>
  </w:num>
  <w:num w:numId="26" w16cid:durableId="1963415837">
    <w:abstractNumId w:val="13"/>
  </w:num>
  <w:num w:numId="27" w16cid:durableId="64500090">
    <w:abstractNumId w:val="22"/>
  </w:num>
  <w:num w:numId="28" w16cid:durableId="1314211719">
    <w:abstractNumId w:val="24"/>
  </w:num>
  <w:num w:numId="29" w16cid:durableId="1087461293">
    <w:abstractNumId w:val="17"/>
  </w:num>
  <w:num w:numId="30" w16cid:durableId="1475952603">
    <w:abstractNumId w:val="23"/>
  </w:num>
  <w:num w:numId="31" w16cid:durableId="2097743815">
    <w:abstractNumId w:val="21"/>
  </w:num>
  <w:num w:numId="32" w16cid:durableId="20853702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623D"/>
    <w:rsid w:val="00011CAD"/>
    <w:rsid w:val="00014526"/>
    <w:rsid w:val="0001496C"/>
    <w:rsid w:val="0001503B"/>
    <w:rsid w:val="00015E83"/>
    <w:rsid w:val="00016134"/>
    <w:rsid w:val="000206DB"/>
    <w:rsid w:val="00023B9C"/>
    <w:rsid w:val="00033397"/>
    <w:rsid w:val="000352E2"/>
    <w:rsid w:val="0003651E"/>
    <w:rsid w:val="00040095"/>
    <w:rsid w:val="00040A8C"/>
    <w:rsid w:val="000446B1"/>
    <w:rsid w:val="00044DE2"/>
    <w:rsid w:val="00051834"/>
    <w:rsid w:val="000526D6"/>
    <w:rsid w:val="00054529"/>
    <w:rsid w:val="00054A22"/>
    <w:rsid w:val="000572D5"/>
    <w:rsid w:val="000607C9"/>
    <w:rsid w:val="00061B4F"/>
    <w:rsid w:val="00062023"/>
    <w:rsid w:val="000655A6"/>
    <w:rsid w:val="00066C19"/>
    <w:rsid w:val="0006704A"/>
    <w:rsid w:val="00075B78"/>
    <w:rsid w:val="00076BA9"/>
    <w:rsid w:val="00080512"/>
    <w:rsid w:val="00080638"/>
    <w:rsid w:val="0008297C"/>
    <w:rsid w:val="00095EA8"/>
    <w:rsid w:val="000A0C3B"/>
    <w:rsid w:val="000A365D"/>
    <w:rsid w:val="000A68F3"/>
    <w:rsid w:val="000B61FB"/>
    <w:rsid w:val="000C018E"/>
    <w:rsid w:val="000C16C8"/>
    <w:rsid w:val="000C47C3"/>
    <w:rsid w:val="000C78DB"/>
    <w:rsid w:val="000D0571"/>
    <w:rsid w:val="000D3827"/>
    <w:rsid w:val="000D50E3"/>
    <w:rsid w:val="000D58AB"/>
    <w:rsid w:val="000D6A52"/>
    <w:rsid w:val="000E0695"/>
    <w:rsid w:val="000E1A37"/>
    <w:rsid w:val="000E1CAF"/>
    <w:rsid w:val="000E5C88"/>
    <w:rsid w:val="000E751D"/>
    <w:rsid w:val="000F21E4"/>
    <w:rsid w:val="000F3156"/>
    <w:rsid w:val="000F3686"/>
    <w:rsid w:val="00104BC6"/>
    <w:rsid w:val="00104CDD"/>
    <w:rsid w:val="00104FCA"/>
    <w:rsid w:val="00113A07"/>
    <w:rsid w:val="00114E2C"/>
    <w:rsid w:val="0011748D"/>
    <w:rsid w:val="00121103"/>
    <w:rsid w:val="0012418E"/>
    <w:rsid w:val="00133525"/>
    <w:rsid w:val="00141326"/>
    <w:rsid w:val="00141FA3"/>
    <w:rsid w:val="00142747"/>
    <w:rsid w:val="00146BF3"/>
    <w:rsid w:val="001476E2"/>
    <w:rsid w:val="0015786B"/>
    <w:rsid w:val="001645BD"/>
    <w:rsid w:val="001655BB"/>
    <w:rsid w:val="0016611C"/>
    <w:rsid w:val="00166B5C"/>
    <w:rsid w:val="0017591E"/>
    <w:rsid w:val="00176183"/>
    <w:rsid w:val="001775AC"/>
    <w:rsid w:val="00181118"/>
    <w:rsid w:val="001825F0"/>
    <w:rsid w:val="00183720"/>
    <w:rsid w:val="0018372A"/>
    <w:rsid w:val="001841B1"/>
    <w:rsid w:val="00185E52"/>
    <w:rsid w:val="00197470"/>
    <w:rsid w:val="001A410D"/>
    <w:rsid w:val="001A4C42"/>
    <w:rsid w:val="001A6141"/>
    <w:rsid w:val="001A7772"/>
    <w:rsid w:val="001B7371"/>
    <w:rsid w:val="001C21C3"/>
    <w:rsid w:val="001C3E72"/>
    <w:rsid w:val="001C5B11"/>
    <w:rsid w:val="001C64E9"/>
    <w:rsid w:val="001D02C2"/>
    <w:rsid w:val="001D1408"/>
    <w:rsid w:val="001D1470"/>
    <w:rsid w:val="001D2A82"/>
    <w:rsid w:val="001E0A62"/>
    <w:rsid w:val="001E145D"/>
    <w:rsid w:val="001F0C1D"/>
    <w:rsid w:val="001F1132"/>
    <w:rsid w:val="001F168B"/>
    <w:rsid w:val="001F6FF3"/>
    <w:rsid w:val="00204648"/>
    <w:rsid w:val="002058CF"/>
    <w:rsid w:val="00210E0A"/>
    <w:rsid w:val="002155A1"/>
    <w:rsid w:val="00215C07"/>
    <w:rsid w:val="00216772"/>
    <w:rsid w:val="0021744E"/>
    <w:rsid w:val="00217DB5"/>
    <w:rsid w:val="0022541F"/>
    <w:rsid w:val="00231349"/>
    <w:rsid w:val="002347A2"/>
    <w:rsid w:val="00234D70"/>
    <w:rsid w:val="00240C29"/>
    <w:rsid w:val="002450A4"/>
    <w:rsid w:val="00247926"/>
    <w:rsid w:val="00252158"/>
    <w:rsid w:val="00255EAC"/>
    <w:rsid w:val="002608DE"/>
    <w:rsid w:val="00261B7C"/>
    <w:rsid w:val="002637C2"/>
    <w:rsid w:val="0026424E"/>
    <w:rsid w:val="002675F0"/>
    <w:rsid w:val="00274A90"/>
    <w:rsid w:val="00276C70"/>
    <w:rsid w:val="00276EE4"/>
    <w:rsid w:val="00277172"/>
    <w:rsid w:val="00277585"/>
    <w:rsid w:val="00277626"/>
    <w:rsid w:val="00281680"/>
    <w:rsid w:val="0028193A"/>
    <w:rsid w:val="0028485D"/>
    <w:rsid w:val="0029079A"/>
    <w:rsid w:val="00293BAE"/>
    <w:rsid w:val="00296065"/>
    <w:rsid w:val="002A07F2"/>
    <w:rsid w:val="002A1BA3"/>
    <w:rsid w:val="002A2A03"/>
    <w:rsid w:val="002A394A"/>
    <w:rsid w:val="002A4425"/>
    <w:rsid w:val="002A466C"/>
    <w:rsid w:val="002A51BE"/>
    <w:rsid w:val="002A797D"/>
    <w:rsid w:val="002B1B99"/>
    <w:rsid w:val="002B36A1"/>
    <w:rsid w:val="002B6339"/>
    <w:rsid w:val="002B6EF4"/>
    <w:rsid w:val="002C011F"/>
    <w:rsid w:val="002C2BBA"/>
    <w:rsid w:val="002C79FA"/>
    <w:rsid w:val="002D2519"/>
    <w:rsid w:val="002D2B19"/>
    <w:rsid w:val="002D3298"/>
    <w:rsid w:val="002D405E"/>
    <w:rsid w:val="002D61E3"/>
    <w:rsid w:val="002D77A3"/>
    <w:rsid w:val="002E00EE"/>
    <w:rsid w:val="002E16DC"/>
    <w:rsid w:val="002E7318"/>
    <w:rsid w:val="002E78C1"/>
    <w:rsid w:val="002F4933"/>
    <w:rsid w:val="002F4F9E"/>
    <w:rsid w:val="002F5031"/>
    <w:rsid w:val="00302907"/>
    <w:rsid w:val="00302C30"/>
    <w:rsid w:val="00302E47"/>
    <w:rsid w:val="00303267"/>
    <w:rsid w:val="0030430D"/>
    <w:rsid w:val="00311180"/>
    <w:rsid w:val="00312C7F"/>
    <w:rsid w:val="00314818"/>
    <w:rsid w:val="003172DC"/>
    <w:rsid w:val="00322C5B"/>
    <w:rsid w:val="00327934"/>
    <w:rsid w:val="00327D7A"/>
    <w:rsid w:val="003304FE"/>
    <w:rsid w:val="003325B7"/>
    <w:rsid w:val="00335F34"/>
    <w:rsid w:val="0034052F"/>
    <w:rsid w:val="00341266"/>
    <w:rsid w:val="00342193"/>
    <w:rsid w:val="0035462D"/>
    <w:rsid w:val="00357A80"/>
    <w:rsid w:val="00357B94"/>
    <w:rsid w:val="00360244"/>
    <w:rsid w:val="00365E86"/>
    <w:rsid w:val="003765B8"/>
    <w:rsid w:val="003772E9"/>
    <w:rsid w:val="00381307"/>
    <w:rsid w:val="00383036"/>
    <w:rsid w:val="00385F91"/>
    <w:rsid w:val="00390FFB"/>
    <w:rsid w:val="003931FE"/>
    <w:rsid w:val="003946F3"/>
    <w:rsid w:val="0039506D"/>
    <w:rsid w:val="0039590F"/>
    <w:rsid w:val="0039702E"/>
    <w:rsid w:val="003A0483"/>
    <w:rsid w:val="003A66C6"/>
    <w:rsid w:val="003A75E4"/>
    <w:rsid w:val="003B468C"/>
    <w:rsid w:val="003B56B1"/>
    <w:rsid w:val="003C1669"/>
    <w:rsid w:val="003C3971"/>
    <w:rsid w:val="003C430A"/>
    <w:rsid w:val="003C4B24"/>
    <w:rsid w:val="003C51AE"/>
    <w:rsid w:val="003C5468"/>
    <w:rsid w:val="003C6A8C"/>
    <w:rsid w:val="003C7E3B"/>
    <w:rsid w:val="003D0F89"/>
    <w:rsid w:val="003D7A05"/>
    <w:rsid w:val="003D7AB5"/>
    <w:rsid w:val="003E62C7"/>
    <w:rsid w:val="003E7753"/>
    <w:rsid w:val="003E7ED9"/>
    <w:rsid w:val="003F0C6B"/>
    <w:rsid w:val="003F1DE5"/>
    <w:rsid w:val="003F275D"/>
    <w:rsid w:val="003F474B"/>
    <w:rsid w:val="003F6ACE"/>
    <w:rsid w:val="003F6DEF"/>
    <w:rsid w:val="003F760D"/>
    <w:rsid w:val="004007D9"/>
    <w:rsid w:val="00401944"/>
    <w:rsid w:val="0040386F"/>
    <w:rsid w:val="004166A1"/>
    <w:rsid w:val="0041733B"/>
    <w:rsid w:val="00420FB8"/>
    <w:rsid w:val="00423334"/>
    <w:rsid w:val="00423B10"/>
    <w:rsid w:val="00425483"/>
    <w:rsid w:val="00426737"/>
    <w:rsid w:val="0043242D"/>
    <w:rsid w:val="004345EC"/>
    <w:rsid w:val="004518DE"/>
    <w:rsid w:val="00453FE3"/>
    <w:rsid w:val="00456A82"/>
    <w:rsid w:val="00463240"/>
    <w:rsid w:val="00464930"/>
    <w:rsid w:val="00470E29"/>
    <w:rsid w:val="0047230B"/>
    <w:rsid w:val="004728B7"/>
    <w:rsid w:val="0047564A"/>
    <w:rsid w:val="00475AC6"/>
    <w:rsid w:val="004768DA"/>
    <w:rsid w:val="004812DD"/>
    <w:rsid w:val="004819D5"/>
    <w:rsid w:val="004826A9"/>
    <w:rsid w:val="0048483C"/>
    <w:rsid w:val="00484B1E"/>
    <w:rsid w:val="004A3C54"/>
    <w:rsid w:val="004A3D27"/>
    <w:rsid w:val="004A4724"/>
    <w:rsid w:val="004A48FA"/>
    <w:rsid w:val="004A5DB3"/>
    <w:rsid w:val="004A616F"/>
    <w:rsid w:val="004B2CAA"/>
    <w:rsid w:val="004B3447"/>
    <w:rsid w:val="004B5861"/>
    <w:rsid w:val="004B5C7F"/>
    <w:rsid w:val="004C15E6"/>
    <w:rsid w:val="004C1601"/>
    <w:rsid w:val="004C1615"/>
    <w:rsid w:val="004C6022"/>
    <w:rsid w:val="004C7C52"/>
    <w:rsid w:val="004D3578"/>
    <w:rsid w:val="004D5ADE"/>
    <w:rsid w:val="004D5EB9"/>
    <w:rsid w:val="004E213A"/>
    <w:rsid w:val="004E219E"/>
    <w:rsid w:val="004E2762"/>
    <w:rsid w:val="004F0988"/>
    <w:rsid w:val="004F3340"/>
    <w:rsid w:val="004F3E3D"/>
    <w:rsid w:val="004F6AF4"/>
    <w:rsid w:val="004F7D81"/>
    <w:rsid w:val="004F7DEF"/>
    <w:rsid w:val="005038CA"/>
    <w:rsid w:val="00507857"/>
    <w:rsid w:val="00523AE4"/>
    <w:rsid w:val="00523F59"/>
    <w:rsid w:val="00531036"/>
    <w:rsid w:val="0053388B"/>
    <w:rsid w:val="00534BE5"/>
    <w:rsid w:val="00535773"/>
    <w:rsid w:val="00543E6C"/>
    <w:rsid w:val="00556D61"/>
    <w:rsid w:val="005606B7"/>
    <w:rsid w:val="00563714"/>
    <w:rsid w:val="005644F8"/>
    <w:rsid w:val="00565087"/>
    <w:rsid w:val="00567534"/>
    <w:rsid w:val="00572E14"/>
    <w:rsid w:val="0057672C"/>
    <w:rsid w:val="005776DB"/>
    <w:rsid w:val="005834F5"/>
    <w:rsid w:val="00594F57"/>
    <w:rsid w:val="005973BE"/>
    <w:rsid w:val="005A4921"/>
    <w:rsid w:val="005A5986"/>
    <w:rsid w:val="005A656C"/>
    <w:rsid w:val="005A7809"/>
    <w:rsid w:val="005B363E"/>
    <w:rsid w:val="005B3763"/>
    <w:rsid w:val="005B6FA8"/>
    <w:rsid w:val="005B74DA"/>
    <w:rsid w:val="005C2501"/>
    <w:rsid w:val="005C25FF"/>
    <w:rsid w:val="005C43AC"/>
    <w:rsid w:val="005D0BA9"/>
    <w:rsid w:val="005D2525"/>
    <w:rsid w:val="005D2E01"/>
    <w:rsid w:val="005D7526"/>
    <w:rsid w:val="005E0607"/>
    <w:rsid w:val="005E2982"/>
    <w:rsid w:val="005E5399"/>
    <w:rsid w:val="005E66AC"/>
    <w:rsid w:val="005E69AE"/>
    <w:rsid w:val="005F23E7"/>
    <w:rsid w:val="005F2F54"/>
    <w:rsid w:val="005F39D5"/>
    <w:rsid w:val="005F696B"/>
    <w:rsid w:val="0060129F"/>
    <w:rsid w:val="006023EA"/>
    <w:rsid w:val="00602AEA"/>
    <w:rsid w:val="006073EA"/>
    <w:rsid w:val="00607E3C"/>
    <w:rsid w:val="00610053"/>
    <w:rsid w:val="00610715"/>
    <w:rsid w:val="00614FDF"/>
    <w:rsid w:val="006151BD"/>
    <w:rsid w:val="00615B1C"/>
    <w:rsid w:val="006234AA"/>
    <w:rsid w:val="00623F3E"/>
    <w:rsid w:val="00624566"/>
    <w:rsid w:val="006246A7"/>
    <w:rsid w:val="00625205"/>
    <w:rsid w:val="0062595A"/>
    <w:rsid w:val="00626E69"/>
    <w:rsid w:val="006301E8"/>
    <w:rsid w:val="006314F8"/>
    <w:rsid w:val="0063543D"/>
    <w:rsid w:val="00647114"/>
    <w:rsid w:val="006528E0"/>
    <w:rsid w:val="00656B9D"/>
    <w:rsid w:val="00662106"/>
    <w:rsid w:val="00663541"/>
    <w:rsid w:val="0066559E"/>
    <w:rsid w:val="00665CD4"/>
    <w:rsid w:val="0068290F"/>
    <w:rsid w:val="0068530E"/>
    <w:rsid w:val="00685A6F"/>
    <w:rsid w:val="00687D57"/>
    <w:rsid w:val="006A2C3D"/>
    <w:rsid w:val="006A323F"/>
    <w:rsid w:val="006A7137"/>
    <w:rsid w:val="006A7DEF"/>
    <w:rsid w:val="006B30D0"/>
    <w:rsid w:val="006C228A"/>
    <w:rsid w:val="006C3D95"/>
    <w:rsid w:val="006C6B22"/>
    <w:rsid w:val="006D0A3C"/>
    <w:rsid w:val="006D0F9A"/>
    <w:rsid w:val="006D7B72"/>
    <w:rsid w:val="006E4AAA"/>
    <w:rsid w:val="006E5C86"/>
    <w:rsid w:val="006F137C"/>
    <w:rsid w:val="006F2924"/>
    <w:rsid w:val="006F4A2D"/>
    <w:rsid w:val="006F5C12"/>
    <w:rsid w:val="00701A75"/>
    <w:rsid w:val="0070297F"/>
    <w:rsid w:val="0070556D"/>
    <w:rsid w:val="00707B3D"/>
    <w:rsid w:val="00707D4D"/>
    <w:rsid w:val="00711CF9"/>
    <w:rsid w:val="00713C44"/>
    <w:rsid w:val="0071674C"/>
    <w:rsid w:val="0072712F"/>
    <w:rsid w:val="007302D6"/>
    <w:rsid w:val="00734564"/>
    <w:rsid w:val="00734A5B"/>
    <w:rsid w:val="0074026F"/>
    <w:rsid w:val="007427A5"/>
    <w:rsid w:val="007429F6"/>
    <w:rsid w:val="00744E3A"/>
    <w:rsid w:val="00744E76"/>
    <w:rsid w:val="0075000F"/>
    <w:rsid w:val="00752198"/>
    <w:rsid w:val="007534AC"/>
    <w:rsid w:val="00753881"/>
    <w:rsid w:val="007551EB"/>
    <w:rsid w:val="00757410"/>
    <w:rsid w:val="0076084E"/>
    <w:rsid w:val="00762B40"/>
    <w:rsid w:val="00765AB3"/>
    <w:rsid w:val="00765B58"/>
    <w:rsid w:val="00772FB5"/>
    <w:rsid w:val="00774DA4"/>
    <w:rsid w:val="00781F0F"/>
    <w:rsid w:val="00782AD9"/>
    <w:rsid w:val="007833DA"/>
    <w:rsid w:val="00786455"/>
    <w:rsid w:val="00787B15"/>
    <w:rsid w:val="0079544F"/>
    <w:rsid w:val="007A44A6"/>
    <w:rsid w:val="007A57AC"/>
    <w:rsid w:val="007A6283"/>
    <w:rsid w:val="007A7C22"/>
    <w:rsid w:val="007B5627"/>
    <w:rsid w:val="007B5B06"/>
    <w:rsid w:val="007B600E"/>
    <w:rsid w:val="007C2090"/>
    <w:rsid w:val="007C49AE"/>
    <w:rsid w:val="007D12CB"/>
    <w:rsid w:val="007D1CA7"/>
    <w:rsid w:val="007D4A65"/>
    <w:rsid w:val="007E1E1E"/>
    <w:rsid w:val="007E27DA"/>
    <w:rsid w:val="007E5AE9"/>
    <w:rsid w:val="007E6354"/>
    <w:rsid w:val="007F0F4A"/>
    <w:rsid w:val="007F1C98"/>
    <w:rsid w:val="007F1CFA"/>
    <w:rsid w:val="008028A4"/>
    <w:rsid w:val="00802B8D"/>
    <w:rsid w:val="00802C23"/>
    <w:rsid w:val="00805884"/>
    <w:rsid w:val="00806B4A"/>
    <w:rsid w:val="00806E29"/>
    <w:rsid w:val="00814664"/>
    <w:rsid w:val="00814EEB"/>
    <w:rsid w:val="0081569B"/>
    <w:rsid w:val="00816333"/>
    <w:rsid w:val="00816809"/>
    <w:rsid w:val="0081783A"/>
    <w:rsid w:val="00820B25"/>
    <w:rsid w:val="0082461B"/>
    <w:rsid w:val="0082493D"/>
    <w:rsid w:val="00825EDF"/>
    <w:rsid w:val="00826884"/>
    <w:rsid w:val="00830747"/>
    <w:rsid w:val="00835E91"/>
    <w:rsid w:val="0083755B"/>
    <w:rsid w:val="00840DCA"/>
    <w:rsid w:val="008447C6"/>
    <w:rsid w:val="008454C5"/>
    <w:rsid w:val="00851681"/>
    <w:rsid w:val="0085227D"/>
    <w:rsid w:val="00854543"/>
    <w:rsid w:val="0085666A"/>
    <w:rsid w:val="00870EB0"/>
    <w:rsid w:val="008768CA"/>
    <w:rsid w:val="00880889"/>
    <w:rsid w:val="00886F35"/>
    <w:rsid w:val="0089062C"/>
    <w:rsid w:val="00895E23"/>
    <w:rsid w:val="0089763E"/>
    <w:rsid w:val="008A1D3B"/>
    <w:rsid w:val="008A3527"/>
    <w:rsid w:val="008A5F18"/>
    <w:rsid w:val="008A78FF"/>
    <w:rsid w:val="008C2245"/>
    <w:rsid w:val="008C384C"/>
    <w:rsid w:val="008C494B"/>
    <w:rsid w:val="008D4F18"/>
    <w:rsid w:val="008D5EEB"/>
    <w:rsid w:val="008E2413"/>
    <w:rsid w:val="008E277C"/>
    <w:rsid w:val="008E7986"/>
    <w:rsid w:val="008F29A8"/>
    <w:rsid w:val="008F626A"/>
    <w:rsid w:val="008F7DBB"/>
    <w:rsid w:val="0090271F"/>
    <w:rsid w:val="00902E23"/>
    <w:rsid w:val="009034DD"/>
    <w:rsid w:val="00907543"/>
    <w:rsid w:val="00907808"/>
    <w:rsid w:val="0091018D"/>
    <w:rsid w:val="009114D7"/>
    <w:rsid w:val="009122BC"/>
    <w:rsid w:val="0091348E"/>
    <w:rsid w:val="0091435F"/>
    <w:rsid w:val="00914B4B"/>
    <w:rsid w:val="00916637"/>
    <w:rsid w:val="00917334"/>
    <w:rsid w:val="00917CCB"/>
    <w:rsid w:val="00921E71"/>
    <w:rsid w:val="00924C53"/>
    <w:rsid w:val="00925BDF"/>
    <w:rsid w:val="00930919"/>
    <w:rsid w:val="0093313C"/>
    <w:rsid w:val="00934C80"/>
    <w:rsid w:val="00935136"/>
    <w:rsid w:val="00937D26"/>
    <w:rsid w:val="00942EC2"/>
    <w:rsid w:val="0094625B"/>
    <w:rsid w:val="00952E04"/>
    <w:rsid w:val="00955390"/>
    <w:rsid w:val="009574BA"/>
    <w:rsid w:val="00957852"/>
    <w:rsid w:val="00957B49"/>
    <w:rsid w:val="00964DA3"/>
    <w:rsid w:val="00965947"/>
    <w:rsid w:val="00965ED0"/>
    <w:rsid w:val="00973E07"/>
    <w:rsid w:val="0097503B"/>
    <w:rsid w:val="009751F6"/>
    <w:rsid w:val="009918E9"/>
    <w:rsid w:val="009929FF"/>
    <w:rsid w:val="00996789"/>
    <w:rsid w:val="009A227B"/>
    <w:rsid w:val="009A5BBC"/>
    <w:rsid w:val="009B18E3"/>
    <w:rsid w:val="009B236A"/>
    <w:rsid w:val="009B373D"/>
    <w:rsid w:val="009B3A45"/>
    <w:rsid w:val="009C2313"/>
    <w:rsid w:val="009C3639"/>
    <w:rsid w:val="009C4F99"/>
    <w:rsid w:val="009D2B95"/>
    <w:rsid w:val="009D4870"/>
    <w:rsid w:val="009D528F"/>
    <w:rsid w:val="009D63DD"/>
    <w:rsid w:val="009E0351"/>
    <w:rsid w:val="009E23D5"/>
    <w:rsid w:val="009E643A"/>
    <w:rsid w:val="009F37B7"/>
    <w:rsid w:val="009F5E43"/>
    <w:rsid w:val="00A0194F"/>
    <w:rsid w:val="00A02BA9"/>
    <w:rsid w:val="00A04574"/>
    <w:rsid w:val="00A06AAF"/>
    <w:rsid w:val="00A07979"/>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59A1"/>
    <w:rsid w:val="00A41BB8"/>
    <w:rsid w:val="00A5177F"/>
    <w:rsid w:val="00A517B0"/>
    <w:rsid w:val="00A51D63"/>
    <w:rsid w:val="00A51E6C"/>
    <w:rsid w:val="00A53724"/>
    <w:rsid w:val="00A53FE0"/>
    <w:rsid w:val="00A542F7"/>
    <w:rsid w:val="00A5609E"/>
    <w:rsid w:val="00A61A9D"/>
    <w:rsid w:val="00A625A6"/>
    <w:rsid w:val="00A62B36"/>
    <w:rsid w:val="00A67389"/>
    <w:rsid w:val="00A67816"/>
    <w:rsid w:val="00A70BF5"/>
    <w:rsid w:val="00A7175A"/>
    <w:rsid w:val="00A73129"/>
    <w:rsid w:val="00A747AC"/>
    <w:rsid w:val="00A75621"/>
    <w:rsid w:val="00A82346"/>
    <w:rsid w:val="00A83518"/>
    <w:rsid w:val="00A853D2"/>
    <w:rsid w:val="00A9004D"/>
    <w:rsid w:val="00A92BA1"/>
    <w:rsid w:val="00A942D0"/>
    <w:rsid w:val="00A95BC2"/>
    <w:rsid w:val="00A95DCB"/>
    <w:rsid w:val="00AA286D"/>
    <w:rsid w:val="00AA3D5D"/>
    <w:rsid w:val="00AA5A3D"/>
    <w:rsid w:val="00AB1619"/>
    <w:rsid w:val="00AB4AB2"/>
    <w:rsid w:val="00AB5A96"/>
    <w:rsid w:val="00AC0150"/>
    <w:rsid w:val="00AC3CC6"/>
    <w:rsid w:val="00AC541B"/>
    <w:rsid w:val="00AC6BC6"/>
    <w:rsid w:val="00AD18D5"/>
    <w:rsid w:val="00AD32E7"/>
    <w:rsid w:val="00AD5F64"/>
    <w:rsid w:val="00AE2047"/>
    <w:rsid w:val="00AE3797"/>
    <w:rsid w:val="00AE66D6"/>
    <w:rsid w:val="00AF4842"/>
    <w:rsid w:val="00AF7AB0"/>
    <w:rsid w:val="00B05345"/>
    <w:rsid w:val="00B059F1"/>
    <w:rsid w:val="00B06112"/>
    <w:rsid w:val="00B128FD"/>
    <w:rsid w:val="00B14630"/>
    <w:rsid w:val="00B150E6"/>
    <w:rsid w:val="00B15449"/>
    <w:rsid w:val="00B21C27"/>
    <w:rsid w:val="00B3227E"/>
    <w:rsid w:val="00B35505"/>
    <w:rsid w:val="00B37C70"/>
    <w:rsid w:val="00B42AB8"/>
    <w:rsid w:val="00B44F81"/>
    <w:rsid w:val="00B50264"/>
    <w:rsid w:val="00B51CDC"/>
    <w:rsid w:val="00B5302C"/>
    <w:rsid w:val="00B6072E"/>
    <w:rsid w:val="00B631D3"/>
    <w:rsid w:val="00B65A49"/>
    <w:rsid w:val="00B76D6A"/>
    <w:rsid w:val="00B76FBB"/>
    <w:rsid w:val="00B804A1"/>
    <w:rsid w:val="00B863E2"/>
    <w:rsid w:val="00B93086"/>
    <w:rsid w:val="00B9622A"/>
    <w:rsid w:val="00BA19ED"/>
    <w:rsid w:val="00BA299D"/>
    <w:rsid w:val="00BA300B"/>
    <w:rsid w:val="00BA4B8D"/>
    <w:rsid w:val="00BA50B0"/>
    <w:rsid w:val="00BA5F68"/>
    <w:rsid w:val="00BA6F99"/>
    <w:rsid w:val="00BC0F7D"/>
    <w:rsid w:val="00BC179E"/>
    <w:rsid w:val="00BC2130"/>
    <w:rsid w:val="00BC227B"/>
    <w:rsid w:val="00BC327A"/>
    <w:rsid w:val="00BC3CE7"/>
    <w:rsid w:val="00BC4BFC"/>
    <w:rsid w:val="00BC6A25"/>
    <w:rsid w:val="00BD5C78"/>
    <w:rsid w:val="00BD7171"/>
    <w:rsid w:val="00BE00A0"/>
    <w:rsid w:val="00BE08EF"/>
    <w:rsid w:val="00BE3255"/>
    <w:rsid w:val="00BE3338"/>
    <w:rsid w:val="00BE4DF0"/>
    <w:rsid w:val="00BF01FB"/>
    <w:rsid w:val="00BF095A"/>
    <w:rsid w:val="00BF128E"/>
    <w:rsid w:val="00BF48F0"/>
    <w:rsid w:val="00BF4C3B"/>
    <w:rsid w:val="00BF692E"/>
    <w:rsid w:val="00C002C5"/>
    <w:rsid w:val="00C010CD"/>
    <w:rsid w:val="00C0292C"/>
    <w:rsid w:val="00C05CE0"/>
    <w:rsid w:val="00C079CE"/>
    <w:rsid w:val="00C10AA8"/>
    <w:rsid w:val="00C13552"/>
    <w:rsid w:val="00C1496A"/>
    <w:rsid w:val="00C16008"/>
    <w:rsid w:val="00C161CE"/>
    <w:rsid w:val="00C1711F"/>
    <w:rsid w:val="00C2036A"/>
    <w:rsid w:val="00C27F1B"/>
    <w:rsid w:val="00C32879"/>
    <w:rsid w:val="00C33079"/>
    <w:rsid w:val="00C331E9"/>
    <w:rsid w:val="00C34D05"/>
    <w:rsid w:val="00C35813"/>
    <w:rsid w:val="00C358C6"/>
    <w:rsid w:val="00C36480"/>
    <w:rsid w:val="00C40EAD"/>
    <w:rsid w:val="00C45231"/>
    <w:rsid w:val="00C47235"/>
    <w:rsid w:val="00C5093D"/>
    <w:rsid w:val="00C509CE"/>
    <w:rsid w:val="00C53DE8"/>
    <w:rsid w:val="00C54C23"/>
    <w:rsid w:val="00C575E9"/>
    <w:rsid w:val="00C61217"/>
    <w:rsid w:val="00C71DA1"/>
    <w:rsid w:val="00C72833"/>
    <w:rsid w:val="00C734C4"/>
    <w:rsid w:val="00C77CBD"/>
    <w:rsid w:val="00C80F1D"/>
    <w:rsid w:val="00C81197"/>
    <w:rsid w:val="00C811AE"/>
    <w:rsid w:val="00C87227"/>
    <w:rsid w:val="00C877C9"/>
    <w:rsid w:val="00C90E0A"/>
    <w:rsid w:val="00C91F36"/>
    <w:rsid w:val="00C92A14"/>
    <w:rsid w:val="00C92B00"/>
    <w:rsid w:val="00C93F40"/>
    <w:rsid w:val="00C95BC2"/>
    <w:rsid w:val="00CA3D0C"/>
    <w:rsid w:val="00CA4213"/>
    <w:rsid w:val="00CA4B04"/>
    <w:rsid w:val="00CB0817"/>
    <w:rsid w:val="00CB45A1"/>
    <w:rsid w:val="00CB69DE"/>
    <w:rsid w:val="00CB7AD0"/>
    <w:rsid w:val="00CC0028"/>
    <w:rsid w:val="00CC5BE3"/>
    <w:rsid w:val="00CD5CF4"/>
    <w:rsid w:val="00CD6B3B"/>
    <w:rsid w:val="00CE0B91"/>
    <w:rsid w:val="00CE103C"/>
    <w:rsid w:val="00CE1B41"/>
    <w:rsid w:val="00CE2F48"/>
    <w:rsid w:val="00CE6DD7"/>
    <w:rsid w:val="00CF20E3"/>
    <w:rsid w:val="00CF3841"/>
    <w:rsid w:val="00CF65B5"/>
    <w:rsid w:val="00D00BA3"/>
    <w:rsid w:val="00D05C22"/>
    <w:rsid w:val="00D1495D"/>
    <w:rsid w:val="00D22803"/>
    <w:rsid w:val="00D238B2"/>
    <w:rsid w:val="00D23F96"/>
    <w:rsid w:val="00D2683C"/>
    <w:rsid w:val="00D309CC"/>
    <w:rsid w:val="00D41B07"/>
    <w:rsid w:val="00D41D01"/>
    <w:rsid w:val="00D44E68"/>
    <w:rsid w:val="00D4587A"/>
    <w:rsid w:val="00D463D6"/>
    <w:rsid w:val="00D46431"/>
    <w:rsid w:val="00D530B5"/>
    <w:rsid w:val="00D56A52"/>
    <w:rsid w:val="00D57972"/>
    <w:rsid w:val="00D603CA"/>
    <w:rsid w:val="00D6215B"/>
    <w:rsid w:val="00D653C6"/>
    <w:rsid w:val="00D663A3"/>
    <w:rsid w:val="00D675A9"/>
    <w:rsid w:val="00D738D6"/>
    <w:rsid w:val="00D73D64"/>
    <w:rsid w:val="00D74B53"/>
    <w:rsid w:val="00D74E7B"/>
    <w:rsid w:val="00D755EB"/>
    <w:rsid w:val="00D80235"/>
    <w:rsid w:val="00D81B4C"/>
    <w:rsid w:val="00D84D58"/>
    <w:rsid w:val="00D8507E"/>
    <w:rsid w:val="00D85CA0"/>
    <w:rsid w:val="00D87E00"/>
    <w:rsid w:val="00D90060"/>
    <w:rsid w:val="00D9134D"/>
    <w:rsid w:val="00D92E1E"/>
    <w:rsid w:val="00D97761"/>
    <w:rsid w:val="00DA0100"/>
    <w:rsid w:val="00DA6CFD"/>
    <w:rsid w:val="00DA7A03"/>
    <w:rsid w:val="00DB06CF"/>
    <w:rsid w:val="00DB1818"/>
    <w:rsid w:val="00DB31F8"/>
    <w:rsid w:val="00DB4052"/>
    <w:rsid w:val="00DB79F7"/>
    <w:rsid w:val="00DC309B"/>
    <w:rsid w:val="00DC353B"/>
    <w:rsid w:val="00DC4DA2"/>
    <w:rsid w:val="00DD07AA"/>
    <w:rsid w:val="00DD225E"/>
    <w:rsid w:val="00DD4C17"/>
    <w:rsid w:val="00DD4D52"/>
    <w:rsid w:val="00DD4DC5"/>
    <w:rsid w:val="00DE0507"/>
    <w:rsid w:val="00DE088F"/>
    <w:rsid w:val="00DE36EA"/>
    <w:rsid w:val="00DE55C3"/>
    <w:rsid w:val="00DF19EA"/>
    <w:rsid w:val="00DF2B1F"/>
    <w:rsid w:val="00DF6189"/>
    <w:rsid w:val="00DF62CD"/>
    <w:rsid w:val="00DF6424"/>
    <w:rsid w:val="00E02732"/>
    <w:rsid w:val="00E0286F"/>
    <w:rsid w:val="00E030A1"/>
    <w:rsid w:val="00E06316"/>
    <w:rsid w:val="00E0765D"/>
    <w:rsid w:val="00E13F78"/>
    <w:rsid w:val="00E16509"/>
    <w:rsid w:val="00E2376C"/>
    <w:rsid w:val="00E2413E"/>
    <w:rsid w:val="00E26566"/>
    <w:rsid w:val="00E35B70"/>
    <w:rsid w:val="00E35C6C"/>
    <w:rsid w:val="00E3687A"/>
    <w:rsid w:val="00E40AE6"/>
    <w:rsid w:val="00E40E1C"/>
    <w:rsid w:val="00E427F6"/>
    <w:rsid w:val="00E43286"/>
    <w:rsid w:val="00E44582"/>
    <w:rsid w:val="00E471F4"/>
    <w:rsid w:val="00E52814"/>
    <w:rsid w:val="00E54997"/>
    <w:rsid w:val="00E54B95"/>
    <w:rsid w:val="00E63CD1"/>
    <w:rsid w:val="00E64596"/>
    <w:rsid w:val="00E720AE"/>
    <w:rsid w:val="00E72324"/>
    <w:rsid w:val="00E725DD"/>
    <w:rsid w:val="00E72ABE"/>
    <w:rsid w:val="00E73578"/>
    <w:rsid w:val="00E7375C"/>
    <w:rsid w:val="00E74333"/>
    <w:rsid w:val="00E74C34"/>
    <w:rsid w:val="00E77645"/>
    <w:rsid w:val="00E80040"/>
    <w:rsid w:val="00E80AA5"/>
    <w:rsid w:val="00E9055C"/>
    <w:rsid w:val="00E963F7"/>
    <w:rsid w:val="00EA089E"/>
    <w:rsid w:val="00EA0E17"/>
    <w:rsid w:val="00EA73AA"/>
    <w:rsid w:val="00EB1575"/>
    <w:rsid w:val="00EB30C2"/>
    <w:rsid w:val="00EC4847"/>
    <w:rsid w:val="00EC4A25"/>
    <w:rsid w:val="00EC4F16"/>
    <w:rsid w:val="00EC55DC"/>
    <w:rsid w:val="00EC5825"/>
    <w:rsid w:val="00EC7246"/>
    <w:rsid w:val="00EC7E08"/>
    <w:rsid w:val="00ED0611"/>
    <w:rsid w:val="00ED78FF"/>
    <w:rsid w:val="00EE5AA7"/>
    <w:rsid w:val="00EE7844"/>
    <w:rsid w:val="00EF38FF"/>
    <w:rsid w:val="00EF70F3"/>
    <w:rsid w:val="00F01AE1"/>
    <w:rsid w:val="00F025A2"/>
    <w:rsid w:val="00F04712"/>
    <w:rsid w:val="00F067CC"/>
    <w:rsid w:val="00F06F13"/>
    <w:rsid w:val="00F10C13"/>
    <w:rsid w:val="00F15570"/>
    <w:rsid w:val="00F169CF"/>
    <w:rsid w:val="00F21311"/>
    <w:rsid w:val="00F22EC7"/>
    <w:rsid w:val="00F26A01"/>
    <w:rsid w:val="00F32507"/>
    <w:rsid w:val="00F325C8"/>
    <w:rsid w:val="00F3347C"/>
    <w:rsid w:val="00F35A8C"/>
    <w:rsid w:val="00F40D1D"/>
    <w:rsid w:val="00F47A34"/>
    <w:rsid w:val="00F51ECA"/>
    <w:rsid w:val="00F54BE6"/>
    <w:rsid w:val="00F565B6"/>
    <w:rsid w:val="00F60851"/>
    <w:rsid w:val="00F62AEB"/>
    <w:rsid w:val="00F653B8"/>
    <w:rsid w:val="00F70647"/>
    <w:rsid w:val="00F72543"/>
    <w:rsid w:val="00F72F4F"/>
    <w:rsid w:val="00F7495C"/>
    <w:rsid w:val="00F80F5C"/>
    <w:rsid w:val="00F849C6"/>
    <w:rsid w:val="00F87D29"/>
    <w:rsid w:val="00F90B00"/>
    <w:rsid w:val="00F92945"/>
    <w:rsid w:val="00FA1266"/>
    <w:rsid w:val="00FA29A4"/>
    <w:rsid w:val="00FA3A4C"/>
    <w:rsid w:val="00FA5E13"/>
    <w:rsid w:val="00FA631A"/>
    <w:rsid w:val="00FB28DC"/>
    <w:rsid w:val="00FB645D"/>
    <w:rsid w:val="00FC1192"/>
    <w:rsid w:val="00FC2387"/>
    <w:rsid w:val="00FC596E"/>
    <w:rsid w:val="00FD2950"/>
    <w:rsid w:val="00FD362E"/>
    <w:rsid w:val="00FD63FE"/>
    <w:rsid w:val="00FD67F0"/>
    <w:rsid w:val="00FD72EF"/>
    <w:rsid w:val="00FE7169"/>
    <w:rsid w:val="00FF17F2"/>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4BC5A32A-A92E-5446-A881-BAEA7E7E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13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A5177F"/>
    <w:pPr>
      <w:spacing w:before="100" w:beforeAutospacing="1" w:after="100" w:afterAutospacing="1"/>
    </w:pPr>
  </w:style>
  <w:style w:type="character" w:customStyle="1" w:styleId="ListParagraphChar">
    <w:name w:val="List Paragraph Char"/>
    <w:link w:val="ListParagraph"/>
    <w:uiPriority w:val="34"/>
    <w:qFormat/>
    <w:locked/>
    <w:rsid w:val="00A95DCB"/>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7077">
      <w:bodyDiv w:val="1"/>
      <w:marLeft w:val="0"/>
      <w:marRight w:val="0"/>
      <w:marTop w:val="0"/>
      <w:marBottom w:val="0"/>
      <w:divBdr>
        <w:top w:val="none" w:sz="0" w:space="0" w:color="auto"/>
        <w:left w:val="none" w:sz="0" w:space="0" w:color="auto"/>
        <w:bottom w:val="none" w:sz="0" w:space="0" w:color="auto"/>
        <w:right w:val="none" w:sz="0" w:space="0" w:color="auto"/>
      </w:divBdr>
      <w:divsChild>
        <w:div w:id="977421647">
          <w:marLeft w:val="0"/>
          <w:marRight w:val="0"/>
          <w:marTop w:val="0"/>
          <w:marBottom w:val="0"/>
          <w:divBdr>
            <w:top w:val="none" w:sz="0" w:space="0" w:color="auto"/>
            <w:left w:val="none" w:sz="0" w:space="0" w:color="auto"/>
            <w:bottom w:val="none" w:sz="0" w:space="0" w:color="auto"/>
            <w:right w:val="none" w:sz="0" w:space="0" w:color="auto"/>
          </w:divBdr>
          <w:divsChild>
            <w:div w:id="1365524142">
              <w:marLeft w:val="0"/>
              <w:marRight w:val="0"/>
              <w:marTop w:val="0"/>
              <w:marBottom w:val="0"/>
              <w:divBdr>
                <w:top w:val="none" w:sz="0" w:space="0" w:color="auto"/>
                <w:left w:val="none" w:sz="0" w:space="0" w:color="auto"/>
                <w:bottom w:val="none" w:sz="0" w:space="0" w:color="auto"/>
                <w:right w:val="none" w:sz="0" w:space="0" w:color="auto"/>
              </w:divBdr>
              <w:divsChild>
                <w:div w:id="63448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74274191">
      <w:bodyDiv w:val="1"/>
      <w:marLeft w:val="0"/>
      <w:marRight w:val="0"/>
      <w:marTop w:val="0"/>
      <w:marBottom w:val="0"/>
      <w:divBdr>
        <w:top w:val="none" w:sz="0" w:space="0" w:color="auto"/>
        <w:left w:val="none" w:sz="0" w:space="0" w:color="auto"/>
        <w:bottom w:val="none" w:sz="0" w:space="0" w:color="auto"/>
        <w:right w:val="none" w:sz="0" w:space="0" w:color="auto"/>
      </w:divBdr>
      <w:divsChild>
        <w:div w:id="1232035450">
          <w:marLeft w:val="0"/>
          <w:marRight w:val="0"/>
          <w:marTop w:val="0"/>
          <w:marBottom w:val="0"/>
          <w:divBdr>
            <w:top w:val="none" w:sz="0" w:space="0" w:color="auto"/>
            <w:left w:val="none" w:sz="0" w:space="0" w:color="auto"/>
            <w:bottom w:val="none" w:sz="0" w:space="0" w:color="auto"/>
            <w:right w:val="none" w:sz="0" w:space="0" w:color="auto"/>
          </w:divBdr>
          <w:divsChild>
            <w:div w:id="1986855271">
              <w:marLeft w:val="0"/>
              <w:marRight w:val="0"/>
              <w:marTop w:val="0"/>
              <w:marBottom w:val="0"/>
              <w:divBdr>
                <w:top w:val="none" w:sz="0" w:space="0" w:color="auto"/>
                <w:left w:val="none" w:sz="0" w:space="0" w:color="auto"/>
                <w:bottom w:val="none" w:sz="0" w:space="0" w:color="auto"/>
                <w:right w:val="none" w:sz="0" w:space="0" w:color="auto"/>
              </w:divBdr>
              <w:divsChild>
                <w:div w:id="910121243">
                  <w:marLeft w:val="0"/>
                  <w:marRight w:val="0"/>
                  <w:marTop w:val="0"/>
                  <w:marBottom w:val="0"/>
                  <w:divBdr>
                    <w:top w:val="none" w:sz="0" w:space="0" w:color="auto"/>
                    <w:left w:val="none" w:sz="0" w:space="0" w:color="auto"/>
                    <w:bottom w:val="none" w:sz="0" w:space="0" w:color="auto"/>
                    <w:right w:val="none" w:sz="0" w:space="0" w:color="auto"/>
                  </w:divBdr>
                </w:div>
                <w:div w:id="200627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41917211">
      <w:bodyDiv w:val="1"/>
      <w:marLeft w:val="0"/>
      <w:marRight w:val="0"/>
      <w:marTop w:val="0"/>
      <w:marBottom w:val="0"/>
      <w:divBdr>
        <w:top w:val="none" w:sz="0" w:space="0" w:color="auto"/>
        <w:left w:val="none" w:sz="0" w:space="0" w:color="auto"/>
        <w:bottom w:val="none" w:sz="0" w:space="0" w:color="auto"/>
        <w:right w:val="none" w:sz="0" w:space="0" w:color="auto"/>
      </w:divBdr>
      <w:divsChild>
        <w:div w:id="88159146">
          <w:marLeft w:val="0"/>
          <w:marRight w:val="0"/>
          <w:marTop w:val="0"/>
          <w:marBottom w:val="0"/>
          <w:divBdr>
            <w:top w:val="none" w:sz="0" w:space="0" w:color="auto"/>
            <w:left w:val="none" w:sz="0" w:space="0" w:color="auto"/>
            <w:bottom w:val="none" w:sz="0" w:space="0" w:color="auto"/>
            <w:right w:val="none" w:sz="0" w:space="0" w:color="auto"/>
          </w:divBdr>
          <w:divsChild>
            <w:div w:id="576014905">
              <w:marLeft w:val="0"/>
              <w:marRight w:val="0"/>
              <w:marTop w:val="0"/>
              <w:marBottom w:val="0"/>
              <w:divBdr>
                <w:top w:val="none" w:sz="0" w:space="0" w:color="auto"/>
                <w:left w:val="none" w:sz="0" w:space="0" w:color="auto"/>
                <w:bottom w:val="none" w:sz="0" w:space="0" w:color="auto"/>
                <w:right w:val="none" w:sz="0" w:space="0" w:color="auto"/>
              </w:divBdr>
              <w:divsChild>
                <w:div w:id="153956957">
                  <w:marLeft w:val="0"/>
                  <w:marRight w:val="0"/>
                  <w:marTop w:val="0"/>
                  <w:marBottom w:val="0"/>
                  <w:divBdr>
                    <w:top w:val="none" w:sz="0" w:space="0" w:color="auto"/>
                    <w:left w:val="none" w:sz="0" w:space="0" w:color="auto"/>
                    <w:bottom w:val="none" w:sz="0" w:space="0" w:color="auto"/>
                    <w:right w:val="none" w:sz="0" w:space="0" w:color="auto"/>
                  </w:divBdr>
                  <w:divsChild>
                    <w:div w:id="67083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27013041">
      <w:bodyDiv w:val="1"/>
      <w:marLeft w:val="0"/>
      <w:marRight w:val="0"/>
      <w:marTop w:val="0"/>
      <w:marBottom w:val="0"/>
      <w:divBdr>
        <w:top w:val="none" w:sz="0" w:space="0" w:color="auto"/>
        <w:left w:val="none" w:sz="0" w:space="0" w:color="auto"/>
        <w:bottom w:val="none" w:sz="0" w:space="0" w:color="auto"/>
        <w:right w:val="none" w:sz="0" w:space="0" w:color="auto"/>
      </w:divBdr>
      <w:divsChild>
        <w:div w:id="380595238">
          <w:marLeft w:val="0"/>
          <w:marRight w:val="0"/>
          <w:marTop w:val="0"/>
          <w:marBottom w:val="0"/>
          <w:divBdr>
            <w:top w:val="none" w:sz="0" w:space="0" w:color="auto"/>
            <w:left w:val="none" w:sz="0" w:space="0" w:color="auto"/>
            <w:bottom w:val="none" w:sz="0" w:space="0" w:color="auto"/>
            <w:right w:val="none" w:sz="0" w:space="0" w:color="auto"/>
          </w:divBdr>
          <w:divsChild>
            <w:div w:id="1516924476">
              <w:marLeft w:val="0"/>
              <w:marRight w:val="0"/>
              <w:marTop w:val="0"/>
              <w:marBottom w:val="0"/>
              <w:divBdr>
                <w:top w:val="none" w:sz="0" w:space="0" w:color="auto"/>
                <w:left w:val="none" w:sz="0" w:space="0" w:color="auto"/>
                <w:bottom w:val="none" w:sz="0" w:space="0" w:color="auto"/>
                <w:right w:val="none" w:sz="0" w:space="0" w:color="auto"/>
              </w:divBdr>
              <w:divsChild>
                <w:div w:id="21681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7286177">
      <w:bodyDiv w:val="1"/>
      <w:marLeft w:val="0"/>
      <w:marRight w:val="0"/>
      <w:marTop w:val="0"/>
      <w:marBottom w:val="0"/>
      <w:divBdr>
        <w:top w:val="none" w:sz="0" w:space="0" w:color="auto"/>
        <w:left w:val="none" w:sz="0" w:space="0" w:color="auto"/>
        <w:bottom w:val="none" w:sz="0" w:space="0" w:color="auto"/>
        <w:right w:val="none" w:sz="0" w:space="0" w:color="auto"/>
      </w:divBdr>
      <w:divsChild>
        <w:div w:id="1272007063">
          <w:marLeft w:val="0"/>
          <w:marRight w:val="0"/>
          <w:marTop w:val="0"/>
          <w:marBottom w:val="0"/>
          <w:divBdr>
            <w:top w:val="none" w:sz="0" w:space="0" w:color="auto"/>
            <w:left w:val="none" w:sz="0" w:space="0" w:color="auto"/>
            <w:bottom w:val="none" w:sz="0" w:space="0" w:color="auto"/>
            <w:right w:val="none" w:sz="0" w:space="0" w:color="auto"/>
          </w:divBdr>
          <w:divsChild>
            <w:div w:id="1511067918">
              <w:marLeft w:val="0"/>
              <w:marRight w:val="0"/>
              <w:marTop w:val="0"/>
              <w:marBottom w:val="0"/>
              <w:divBdr>
                <w:top w:val="none" w:sz="0" w:space="0" w:color="auto"/>
                <w:left w:val="none" w:sz="0" w:space="0" w:color="auto"/>
                <w:bottom w:val="none" w:sz="0" w:space="0" w:color="auto"/>
                <w:right w:val="none" w:sz="0" w:space="0" w:color="auto"/>
              </w:divBdr>
              <w:divsChild>
                <w:div w:id="21173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5294">
      <w:bodyDiv w:val="1"/>
      <w:marLeft w:val="0"/>
      <w:marRight w:val="0"/>
      <w:marTop w:val="0"/>
      <w:marBottom w:val="0"/>
      <w:divBdr>
        <w:top w:val="none" w:sz="0" w:space="0" w:color="auto"/>
        <w:left w:val="none" w:sz="0" w:space="0" w:color="auto"/>
        <w:bottom w:val="none" w:sz="0" w:space="0" w:color="auto"/>
        <w:right w:val="none" w:sz="0" w:space="0" w:color="auto"/>
      </w:divBdr>
      <w:divsChild>
        <w:div w:id="344092114">
          <w:marLeft w:val="0"/>
          <w:marRight w:val="0"/>
          <w:marTop w:val="0"/>
          <w:marBottom w:val="0"/>
          <w:divBdr>
            <w:top w:val="none" w:sz="0" w:space="0" w:color="auto"/>
            <w:left w:val="none" w:sz="0" w:space="0" w:color="auto"/>
            <w:bottom w:val="none" w:sz="0" w:space="0" w:color="auto"/>
            <w:right w:val="none" w:sz="0" w:space="0" w:color="auto"/>
          </w:divBdr>
          <w:divsChild>
            <w:div w:id="354355271">
              <w:marLeft w:val="0"/>
              <w:marRight w:val="0"/>
              <w:marTop w:val="0"/>
              <w:marBottom w:val="0"/>
              <w:divBdr>
                <w:top w:val="none" w:sz="0" w:space="0" w:color="auto"/>
                <w:left w:val="none" w:sz="0" w:space="0" w:color="auto"/>
                <w:bottom w:val="none" w:sz="0" w:space="0" w:color="auto"/>
                <w:right w:val="none" w:sz="0" w:space="0" w:color="auto"/>
              </w:divBdr>
              <w:divsChild>
                <w:div w:id="8677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52674394">
      <w:bodyDiv w:val="1"/>
      <w:marLeft w:val="0"/>
      <w:marRight w:val="0"/>
      <w:marTop w:val="0"/>
      <w:marBottom w:val="0"/>
      <w:divBdr>
        <w:top w:val="none" w:sz="0" w:space="0" w:color="auto"/>
        <w:left w:val="none" w:sz="0" w:space="0" w:color="auto"/>
        <w:bottom w:val="none" w:sz="0" w:space="0" w:color="auto"/>
        <w:right w:val="none" w:sz="0" w:space="0" w:color="auto"/>
      </w:divBdr>
      <w:divsChild>
        <w:div w:id="132984397">
          <w:marLeft w:val="0"/>
          <w:marRight w:val="0"/>
          <w:marTop w:val="0"/>
          <w:marBottom w:val="0"/>
          <w:divBdr>
            <w:top w:val="none" w:sz="0" w:space="0" w:color="auto"/>
            <w:left w:val="none" w:sz="0" w:space="0" w:color="auto"/>
            <w:bottom w:val="none" w:sz="0" w:space="0" w:color="auto"/>
            <w:right w:val="none" w:sz="0" w:space="0" w:color="auto"/>
          </w:divBdr>
          <w:divsChild>
            <w:div w:id="337080234">
              <w:marLeft w:val="0"/>
              <w:marRight w:val="0"/>
              <w:marTop w:val="0"/>
              <w:marBottom w:val="0"/>
              <w:divBdr>
                <w:top w:val="none" w:sz="0" w:space="0" w:color="auto"/>
                <w:left w:val="none" w:sz="0" w:space="0" w:color="auto"/>
                <w:bottom w:val="none" w:sz="0" w:space="0" w:color="auto"/>
                <w:right w:val="none" w:sz="0" w:space="0" w:color="auto"/>
              </w:divBdr>
              <w:divsChild>
                <w:div w:id="864513849">
                  <w:marLeft w:val="0"/>
                  <w:marRight w:val="0"/>
                  <w:marTop w:val="0"/>
                  <w:marBottom w:val="0"/>
                  <w:divBdr>
                    <w:top w:val="none" w:sz="0" w:space="0" w:color="auto"/>
                    <w:left w:val="none" w:sz="0" w:space="0" w:color="auto"/>
                    <w:bottom w:val="none" w:sz="0" w:space="0" w:color="auto"/>
                    <w:right w:val="none" w:sz="0" w:space="0" w:color="auto"/>
                  </w:divBdr>
                  <w:divsChild>
                    <w:div w:id="12750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15432783">
      <w:bodyDiv w:val="1"/>
      <w:marLeft w:val="0"/>
      <w:marRight w:val="0"/>
      <w:marTop w:val="0"/>
      <w:marBottom w:val="0"/>
      <w:divBdr>
        <w:top w:val="none" w:sz="0" w:space="0" w:color="auto"/>
        <w:left w:val="none" w:sz="0" w:space="0" w:color="auto"/>
        <w:bottom w:val="none" w:sz="0" w:space="0" w:color="auto"/>
        <w:right w:val="none" w:sz="0" w:space="0" w:color="auto"/>
      </w:divBdr>
      <w:divsChild>
        <w:div w:id="1497113601">
          <w:marLeft w:val="0"/>
          <w:marRight w:val="0"/>
          <w:marTop w:val="0"/>
          <w:marBottom w:val="0"/>
          <w:divBdr>
            <w:top w:val="none" w:sz="0" w:space="0" w:color="auto"/>
            <w:left w:val="none" w:sz="0" w:space="0" w:color="auto"/>
            <w:bottom w:val="none" w:sz="0" w:space="0" w:color="auto"/>
            <w:right w:val="none" w:sz="0" w:space="0" w:color="auto"/>
          </w:divBdr>
          <w:divsChild>
            <w:div w:id="900141723">
              <w:marLeft w:val="0"/>
              <w:marRight w:val="0"/>
              <w:marTop w:val="0"/>
              <w:marBottom w:val="0"/>
              <w:divBdr>
                <w:top w:val="none" w:sz="0" w:space="0" w:color="auto"/>
                <w:left w:val="none" w:sz="0" w:space="0" w:color="auto"/>
                <w:bottom w:val="none" w:sz="0" w:space="0" w:color="auto"/>
                <w:right w:val="none" w:sz="0" w:space="0" w:color="auto"/>
              </w:divBdr>
              <w:divsChild>
                <w:div w:id="34972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51350016">
      <w:bodyDiv w:val="1"/>
      <w:marLeft w:val="0"/>
      <w:marRight w:val="0"/>
      <w:marTop w:val="0"/>
      <w:marBottom w:val="0"/>
      <w:divBdr>
        <w:top w:val="none" w:sz="0" w:space="0" w:color="auto"/>
        <w:left w:val="none" w:sz="0" w:space="0" w:color="auto"/>
        <w:bottom w:val="none" w:sz="0" w:space="0" w:color="auto"/>
        <w:right w:val="none" w:sz="0" w:space="0" w:color="auto"/>
      </w:divBdr>
      <w:divsChild>
        <w:div w:id="307979113">
          <w:marLeft w:val="0"/>
          <w:marRight w:val="0"/>
          <w:marTop w:val="0"/>
          <w:marBottom w:val="0"/>
          <w:divBdr>
            <w:top w:val="none" w:sz="0" w:space="0" w:color="auto"/>
            <w:left w:val="none" w:sz="0" w:space="0" w:color="auto"/>
            <w:bottom w:val="none" w:sz="0" w:space="0" w:color="auto"/>
            <w:right w:val="none" w:sz="0" w:space="0" w:color="auto"/>
          </w:divBdr>
          <w:divsChild>
            <w:div w:id="1229224425">
              <w:marLeft w:val="0"/>
              <w:marRight w:val="0"/>
              <w:marTop w:val="0"/>
              <w:marBottom w:val="0"/>
              <w:divBdr>
                <w:top w:val="none" w:sz="0" w:space="0" w:color="auto"/>
                <w:left w:val="none" w:sz="0" w:space="0" w:color="auto"/>
                <w:bottom w:val="none" w:sz="0" w:space="0" w:color="auto"/>
                <w:right w:val="none" w:sz="0" w:space="0" w:color="auto"/>
              </w:divBdr>
              <w:divsChild>
                <w:div w:id="83495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428047">
      <w:bodyDiv w:val="1"/>
      <w:marLeft w:val="0"/>
      <w:marRight w:val="0"/>
      <w:marTop w:val="0"/>
      <w:marBottom w:val="0"/>
      <w:divBdr>
        <w:top w:val="none" w:sz="0" w:space="0" w:color="auto"/>
        <w:left w:val="none" w:sz="0" w:space="0" w:color="auto"/>
        <w:bottom w:val="none" w:sz="0" w:space="0" w:color="auto"/>
        <w:right w:val="none" w:sz="0" w:space="0" w:color="auto"/>
      </w:divBdr>
      <w:divsChild>
        <w:div w:id="57292993">
          <w:marLeft w:val="0"/>
          <w:marRight w:val="0"/>
          <w:marTop w:val="0"/>
          <w:marBottom w:val="0"/>
          <w:divBdr>
            <w:top w:val="none" w:sz="0" w:space="0" w:color="auto"/>
            <w:left w:val="none" w:sz="0" w:space="0" w:color="auto"/>
            <w:bottom w:val="none" w:sz="0" w:space="0" w:color="auto"/>
            <w:right w:val="none" w:sz="0" w:space="0" w:color="auto"/>
          </w:divBdr>
          <w:divsChild>
            <w:div w:id="1046755385">
              <w:marLeft w:val="0"/>
              <w:marRight w:val="0"/>
              <w:marTop w:val="0"/>
              <w:marBottom w:val="0"/>
              <w:divBdr>
                <w:top w:val="none" w:sz="0" w:space="0" w:color="auto"/>
                <w:left w:val="none" w:sz="0" w:space="0" w:color="auto"/>
                <w:bottom w:val="none" w:sz="0" w:space="0" w:color="auto"/>
                <w:right w:val="none" w:sz="0" w:space="0" w:color="auto"/>
              </w:divBdr>
              <w:divsChild>
                <w:div w:id="1942104298">
                  <w:marLeft w:val="0"/>
                  <w:marRight w:val="0"/>
                  <w:marTop w:val="0"/>
                  <w:marBottom w:val="0"/>
                  <w:divBdr>
                    <w:top w:val="none" w:sz="0" w:space="0" w:color="auto"/>
                    <w:left w:val="none" w:sz="0" w:space="0" w:color="auto"/>
                    <w:bottom w:val="none" w:sz="0" w:space="0" w:color="auto"/>
                    <w:right w:val="none" w:sz="0" w:space="0" w:color="auto"/>
                  </w:divBdr>
                  <w:divsChild>
                    <w:div w:id="61671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00349232">
      <w:bodyDiv w:val="1"/>
      <w:marLeft w:val="0"/>
      <w:marRight w:val="0"/>
      <w:marTop w:val="0"/>
      <w:marBottom w:val="0"/>
      <w:divBdr>
        <w:top w:val="none" w:sz="0" w:space="0" w:color="auto"/>
        <w:left w:val="none" w:sz="0" w:space="0" w:color="auto"/>
        <w:bottom w:val="none" w:sz="0" w:space="0" w:color="auto"/>
        <w:right w:val="none" w:sz="0" w:space="0" w:color="auto"/>
      </w:divBdr>
      <w:divsChild>
        <w:div w:id="841818610">
          <w:marLeft w:val="0"/>
          <w:marRight w:val="0"/>
          <w:marTop w:val="0"/>
          <w:marBottom w:val="0"/>
          <w:divBdr>
            <w:top w:val="none" w:sz="0" w:space="0" w:color="auto"/>
            <w:left w:val="none" w:sz="0" w:space="0" w:color="auto"/>
            <w:bottom w:val="none" w:sz="0" w:space="0" w:color="auto"/>
            <w:right w:val="none" w:sz="0" w:space="0" w:color="auto"/>
          </w:divBdr>
          <w:divsChild>
            <w:div w:id="266819111">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63978868">
      <w:bodyDiv w:val="1"/>
      <w:marLeft w:val="0"/>
      <w:marRight w:val="0"/>
      <w:marTop w:val="0"/>
      <w:marBottom w:val="0"/>
      <w:divBdr>
        <w:top w:val="none" w:sz="0" w:space="0" w:color="auto"/>
        <w:left w:val="none" w:sz="0" w:space="0" w:color="auto"/>
        <w:bottom w:val="none" w:sz="0" w:space="0" w:color="auto"/>
        <w:right w:val="none" w:sz="0" w:space="0" w:color="auto"/>
      </w:divBdr>
      <w:divsChild>
        <w:div w:id="1196893169">
          <w:marLeft w:val="0"/>
          <w:marRight w:val="0"/>
          <w:marTop w:val="0"/>
          <w:marBottom w:val="0"/>
          <w:divBdr>
            <w:top w:val="none" w:sz="0" w:space="0" w:color="auto"/>
            <w:left w:val="none" w:sz="0" w:space="0" w:color="auto"/>
            <w:bottom w:val="none" w:sz="0" w:space="0" w:color="auto"/>
            <w:right w:val="none" w:sz="0" w:space="0" w:color="auto"/>
          </w:divBdr>
          <w:divsChild>
            <w:div w:id="982395875">
              <w:marLeft w:val="0"/>
              <w:marRight w:val="0"/>
              <w:marTop w:val="0"/>
              <w:marBottom w:val="0"/>
              <w:divBdr>
                <w:top w:val="none" w:sz="0" w:space="0" w:color="auto"/>
                <w:left w:val="none" w:sz="0" w:space="0" w:color="auto"/>
                <w:bottom w:val="none" w:sz="0" w:space="0" w:color="auto"/>
                <w:right w:val="none" w:sz="0" w:space="0" w:color="auto"/>
              </w:divBdr>
              <w:divsChild>
                <w:div w:id="71978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181487">
      <w:bodyDiv w:val="1"/>
      <w:marLeft w:val="0"/>
      <w:marRight w:val="0"/>
      <w:marTop w:val="0"/>
      <w:marBottom w:val="0"/>
      <w:divBdr>
        <w:top w:val="none" w:sz="0" w:space="0" w:color="auto"/>
        <w:left w:val="none" w:sz="0" w:space="0" w:color="auto"/>
        <w:bottom w:val="none" w:sz="0" w:space="0" w:color="auto"/>
        <w:right w:val="none" w:sz="0" w:space="0" w:color="auto"/>
      </w:divBdr>
      <w:divsChild>
        <w:div w:id="243689235">
          <w:marLeft w:val="0"/>
          <w:marRight w:val="0"/>
          <w:marTop w:val="0"/>
          <w:marBottom w:val="0"/>
          <w:divBdr>
            <w:top w:val="none" w:sz="0" w:space="0" w:color="auto"/>
            <w:left w:val="none" w:sz="0" w:space="0" w:color="auto"/>
            <w:bottom w:val="none" w:sz="0" w:space="0" w:color="auto"/>
            <w:right w:val="none" w:sz="0" w:space="0" w:color="auto"/>
          </w:divBdr>
          <w:divsChild>
            <w:div w:id="1062022271">
              <w:marLeft w:val="0"/>
              <w:marRight w:val="0"/>
              <w:marTop w:val="0"/>
              <w:marBottom w:val="0"/>
              <w:divBdr>
                <w:top w:val="none" w:sz="0" w:space="0" w:color="auto"/>
                <w:left w:val="none" w:sz="0" w:space="0" w:color="auto"/>
                <w:bottom w:val="none" w:sz="0" w:space="0" w:color="auto"/>
                <w:right w:val="none" w:sz="0" w:space="0" w:color="auto"/>
              </w:divBdr>
              <w:divsChild>
                <w:div w:id="50667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3</Pages>
  <Words>1117</Words>
  <Characters>6372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2023-03-10T18:01:00Z</dcterms:created>
  <dcterms:modified xsi:type="dcterms:W3CDTF">2023-03-10T18:08:00Z</dcterms:modified>
  <cp:category/>
</cp:coreProperties>
</file>